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EBD10" w14:textId="5C1E0967" w:rsidR="008C528F" w:rsidRPr="008C528F" w:rsidRDefault="008C528F" w:rsidP="008C528F">
      <w:pPr>
        <w:rPr>
          <w:sz w:val="28"/>
          <w:szCs w:val="28"/>
        </w:rPr>
      </w:pPr>
      <w:r w:rsidRPr="008C528F">
        <w:rPr>
          <w:rFonts w:ascii="Century Gothic" w:hAnsi="Century Gothic"/>
          <w:noProof/>
          <w:color w:val="002060"/>
          <w:sz w:val="44"/>
          <w:szCs w:val="44"/>
        </w:rPr>
        <w:drawing>
          <wp:anchor distT="0" distB="0" distL="114300" distR="114300" simplePos="0" relativeHeight="251670528" behindDoc="0" locked="0" layoutInCell="1" allowOverlap="1" wp14:anchorId="4179FE07" wp14:editId="5D7C4A7D">
            <wp:simplePos x="0" y="0"/>
            <wp:positionH relativeFrom="column">
              <wp:posOffset>4207120</wp:posOffset>
            </wp:positionH>
            <wp:positionV relativeFrom="paragraph">
              <wp:posOffset>488</wp:posOffset>
            </wp:positionV>
            <wp:extent cx="1752600" cy="902970"/>
            <wp:effectExtent l="0" t="0" r="0" b="0"/>
            <wp:wrapThrough wrapText="bothSides">
              <wp:wrapPolygon edited="0">
                <wp:start x="0" y="0"/>
                <wp:lineTo x="0" y="21266"/>
                <wp:lineTo x="21443" y="21266"/>
                <wp:lineTo x="21443" y="0"/>
                <wp:lineTo x="0" y="0"/>
              </wp:wrapPolygon>
            </wp:wrapThrough>
            <wp:docPr id="654355415"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00472C14">
        <w:rPr>
          <w:rFonts w:ascii="Century Gothic" w:hAnsi="Century Gothic"/>
          <w:color w:val="002060"/>
          <w:sz w:val="40"/>
          <w:szCs w:val="40"/>
        </w:rPr>
        <w:t>Lettings</w:t>
      </w:r>
      <w:r w:rsidRPr="008C528F">
        <w:rPr>
          <w:rFonts w:ascii="Century Gothic" w:hAnsi="Century Gothic"/>
          <w:color w:val="002060"/>
          <w:sz w:val="40"/>
          <w:szCs w:val="40"/>
        </w:rPr>
        <w:t xml:space="preserve"> Terms and Conditions of </w:t>
      </w:r>
    </w:p>
    <w:p w14:paraId="67E7C4E9" w14:textId="77777777" w:rsidR="008C528F" w:rsidRPr="008C528F" w:rsidRDefault="008C528F" w:rsidP="008C528F">
      <w:pPr>
        <w:rPr>
          <w:rFonts w:ascii="Century Gothic" w:hAnsi="Century Gothic"/>
          <w:color w:val="002060"/>
          <w:sz w:val="40"/>
          <w:szCs w:val="40"/>
        </w:rPr>
      </w:pPr>
      <w:r w:rsidRPr="008C528F">
        <w:rPr>
          <w:rFonts w:ascii="Century Gothic" w:hAnsi="Century Gothic"/>
          <w:color w:val="002060"/>
          <w:sz w:val="40"/>
          <w:szCs w:val="40"/>
        </w:rPr>
        <w:t xml:space="preserve">Business, Fee and Expenses </w:t>
      </w:r>
    </w:p>
    <w:p w14:paraId="440E54C1" w14:textId="77777777" w:rsidR="008945FB" w:rsidRPr="001F323A" w:rsidRDefault="008945FB" w:rsidP="00184988">
      <w:pPr>
        <w:rPr>
          <w:rFonts w:ascii="Century Gothic" w:hAnsi="Century Gothic"/>
          <w:color w:val="002060"/>
          <w:sz w:val="20"/>
          <w:szCs w:val="20"/>
        </w:rPr>
      </w:pPr>
    </w:p>
    <w:p w14:paraId="6E9D2474" w14:textId="03DF099F" w:rsidR="009B7D6D" w:rsidRPr="008945FB" w:rsidRDefault="009B7D6D" w:rsidP="00472C14">
      <w:pPr>
        <w:ind w:firstLine="720"/>
        <w:rPr>
          <w:rFonts w:ascii="Century Gothic" w:hAnsi="Century Gothic"/>
          <w:color w:val="002060"/>
          <w:sz w:val="20"/>
          <w:szCs w:val="20"/>
        </w:rPr>
      </w:pPr>
      <w:r w:rsidRPr="008945FB">
        <w:rPr>
          <w:rFonts w:ascii="Century Gothic" w:hAnsi="Century Gothic"/>
          <w:color w:val="002060"/>
          <w:sz w:val="20"/>
          <w:szCs w:val="20"/>
        </w:rPr>
        <w:t>Client</w:t>
      </w:r>
      <w:r w:rsidR="002A7101">
        <w:rPr>
          <w:rFonts w:ascii="Century Gothic" w:hAnsi="Century Gothic"/>
          <w:color w:val="002060"/>
          <w:sz w:val="20"/>
          <w:szCs w:val="20"/>
        </w:rPr>
        <w:t>(s) Name</w:t>
      </w:r>
      <w:r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1F323A">
        <w:rPr>
          <w:rFonts w:ascii="Century Gothic" w:hAnsi="Century Gothic"/>
          <w:color w:val="002060"/>
          <w:sz w:val="20"/>
          <w:szCs w:val="20"/>
        </w:rPr>
        <w:fldChar w:fldCharType="begin">
          <w:ffData>
            <w:name w:val="Text2"/>
            <w:enabled/>
            <w:calcOnExit w:val="0"/>
            <w:textInput/>
          </w:ffData>
        </w:fldChar>
      </w:r>
      <w:bookmarkStart w:id="0" w:name="Text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0"/>
      <w:r w:rsidR="002A7101">
        <w:rPr>
          <w:rFonts w:ascii="Century Gothic" w:hAnsi="Century Gothic"/>
          <w:color w:val="002060"/>
          <w:sz w:val="20"/>
          <w:szCs w:val="20"/>
        </w:rPr>
        <w:tab/>
      </w:r>
      <w:r w:rsidR="002A7101">
        <w:rPr>
          <w:rFonts w:ascii="Century Gothic" w:hAnsi="Century Gothic"/>
          <w:color w:val="002060"/>
          <w:sz w:val="20"/>
          <w:szCs w:val="20"/>
        </w:rPr>
        <w:tab/>
      </w:r>
    </w:p>
    <w:p w14:paraId="547ECAFC" w14:textId="60971992" w:rsidR="008945FB" w:rsidRPr="001F323A" w:rsidRDefault="008945FB" w:rsidP="008945FB">
      <w:pPr>
        <w:pStyle w:val="p1"/>
        <w:rPr>
          <w:rFonts w:ascii="Century Gothic" w:hAnsi="Century Gothic"/>
          <w:sz w:val="13"/>
          <w:szCs w:val="13"/>
        </w:rPr>
      </w:pPr>
      <w:r w:rsidRPr="002A7101">
        <w:rPr>
          <w:rFonts w:ascii="Century Gothic" w:hAnsi="Century Gothic"/>
          <w:sz w:val="13"/>
          <w:szCs w:val="13"/>
        </w:rPr>
        <w:t xml:space="preserve">(If the property is jointly </w:t>
      </w:r>
      <w:r w:rsidR="001F323A" w:rsidRPr="002A7101">
        <w:rPr>
          <w:rFonts w:ascii="Century Gothic" w:hAnsi="Century Gothic"/>
          <w:sz w:val="13"/>
          <w:szCs w:val="13"/>
        </w:rPr>
        <w:t>owned,</w:t>
      </w:r>
      <w:r w:rsidRPr="002A7101">
        <w:rPr>
          <w:rFonts w:ascii="Century Gothic" w:hAnsi="Century Gothic"/>
          <w:sz w:val="13"/>
          <w:szCs w:val="13"/>
        </w:rPr>
        <w:t xml:space="preserve"> please state the names of all owners. If the property is corporately owned the full name of the company, the company registration number and the registered office address must appear on this form, which must be signed by an authorised signatory.)</w:t>
      </w:r>
    </w:p>
    <w:p w14:paraId="6AB625F5" w14:textId="77777777" w:rsidR="008945FB" w:rsidRDefault="008945FB" w:rsidP="00184988">
      <w:pPr>
        <w:rPr>
          <w:rFonts w:ascii="Century Gothic" w:hAnsi="Century Gothic"/>
          <w:color w:val="002060"/>
          <w:sz w:val="20"/>
          <w:szCs w:val="20"/>
        </w:rPr>
      </w:pPr>
    </w:p>
    <w:p w14:paraId="13256EF0" w14:textId="5D10BFF3" w:rsidR="009B7D6D" w:rsidRPr="00CE3558" w:rsidRDefault="009B7D6D" w:rsidP="00A1346F">
      <w:pPr>
        <w:ind w:firstLine="720"/>
        <w:rPr>
          <w:rFonts w:ascii="Century Gothic" w:hAnsi="Century Gothic"/>
          <w:color w:val="002060"/>
          <w:sz w:val="20"/>
          <w:szCs w:val="20"/>
        </w:rPr>
      </w:pPr>
      <w:r w:rsidRPr="00CE3558">
        <w:rPr>
          <w:rFonts w:ascii="Century Gothic" w:hAnsi="Century Gothic"/>
          <w:color w:val="002060"/>
          <w:sz w:val="20"/>
          <w:szCs w:val="20"/>
        </w:rPr>
        <w:t xml:space="preserve">Property Address: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bookmarkStart w:id="1" w:name="Text3"/>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1"/>
    </w:p>
    <w:p w14:paraId="43968508" w14:textId="1D8C8503" w:rsidR="009B7D6D" w:rsidRPr="00CE3558" w:rsidRDefault="00886173"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bookmarkStart w:id="2" w:name="Text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2"/>
    </w:p>
    <w:p w14:paraId="282F737C" w14:textId="77777777" w:rsidR="009B7D6D" w:rsidRPr="00CE3558" w:rsidRDefault="009B7D6D" w:rsidP="00184988">
      <w:pPr>
        <w:rPr>
          <w:rFonts w:ascii="Century Gothic" w:hAnsi="Century Gothic"/>
          <w:color w:val="002060"/>
          <w:sz w:val="20"/>
          <w:szCs w:val="20"/>
        </w:rPr>
      </w:pPr>
    </w:p>
    <w:p w14:paraId="0634D474" w14:textId="32139CA6" w:rsidR="008945FB" w:rsidRPr="00CE3558" w:rsidRDefault="00D72FD1" w:rsidP="00472C14">
      <w:pPr>
        <w:tabs>
          <w:tab w:val="left" w:pos="720"/>
          <w:tab w:val="left" w:pos="1440"/>
          <w:tab w:val="left" w:pos="2160"/>
          <w:tab w:val="left" w:pos="2880"/>
          <w:tab w:val="left" w:pos="6371"/>
        </w:tabs>
        <w:rPr>
          <w:rFonts w:ascii="Century Gothic" w:hAnsi="Century Gothic"/>
          <w:color w:val="002060"/>
          <w:sz w:val="20"/>
          <w:szCs w:val="20"/>
        </w:rPr>
      </w:pPr>
      <w:r>
        <w:rPr>
          <w:rFonts w:ascii="Century Gothic" w:hAnsi="Century Gothic"/>
          <w:color w:val="002060"/>
          <w:sz w:val="20"/>
          <w:szCs w:val="20"/>
        </w:rPr>
        <w:t>Co</w:t>
      </w:r>
      <w:r w:rsidR="002A7101">
        <w:rPr>
          <w:rFonts w:ascii="Century Gothic" w:hAnsi="Century Gothic"/>
          <w:color w:val="002060"/>
          <w:sz w:val="20"/>
          <w:szCs w:val="20"/>
        </w:rPr>
        <w:t>rrespondence</w:t>
      </w:r>
      <w:r w:rsidR="009B7D6D" w:rsidRPr="00CE3558">
        <w:rPr>
          <w:rFonts w:ascii="Century Gothic" w:hAnsi="Century Gothic"/>
          <w:color w:val="002060"/>
          <w:sz w:val="20"/>
          <w:szCs w:val="20"/>
        </w:rPr>
        <w:t xml:space="preserve"> Address:</w:t>
      </w:r>
      <w:r w:rsidR="008945FB" w:rsidRPr="008945FB">
        <w:rPr>
          <w:rFonts w:ascii="Century Gothic" w:hAnsi="Century Gothic"/>
          <w:color w:val="002060"/>
          <w:sz w:val="20"/>
          <w:szCs w:val="20"/>
        </w:rPr>
        <w:t xml:space="preserve"> </w:t>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3"/>
            <w:enabled/>
            <w:calcOnExit/>
            <w:textInput/>
          </w:ffData>
        </w:fldChar>
      </w:r>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r w:rsidR="00472C14">
        <w:rPr>
          <w:rFonts w:ascii="Century Gothic" w:hAnsi="Century Gothic"/>
          <w:color w:val="002060"/>
          <w:sz w:val="20"/>
          <w:szCs w:val="20"/>
        </w:rPr>
        <w:tab/>
      </w:r>
    </w:p>
    <w:p w14:paraId="36C22486" w14:textId="347640BF" w:rsidR="009B7D6D" w:rsidRDefault="008945FB" w:rsidP="002A7101">
      <w:pPr>
        <w:ind w:left="2160" w:firstLine="720"/>
        <w:rPr>
          <w:rFonts w:ascii="Century Gothic" w:hAnsi="Century Gothic"/>
          <w:color w:val="002060"/>
          <w:sz w:val="20"/>
          <w:szCs w:val="20"/>
        </w:rPr>
      </w:pPr>
      <w:r>
        <w:rPr>
          <w:rFonts w:ascii="Century Gothic" w:hAnsi="Century Gothic"/>
          <w:color w:val="002060"/>
          <w:sz w:val="20"/>
          <w:szCs w:val="20"/>
        </w:rPr>
        <w:fldChar w:fldCharType="begin">
          <w:ffData>
            <w:name w:val="Text4"/>
            <w:enabled/>
            <w:calcOnExit w:val="0"/>
            <w:textInput/>
          </w:ffData>
        </w:fldChar>
      </w:r>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p>
    <w:p w14:paraId="5D716C0B" w14:textId="14F60B51" w:rsidR="001F323A" w:rsidRPr="00CE3558" w:rsidRDefault="002A7101" w:rsidP="001F323A">
      <w:pPr>
        <w:ind w:left="1440" w:firstLine="720"/>
        <w:rPr>
          <w:rFonts w:ascii="Century Gothic" w:hAnsi="Century Gothic"/>
          <w:color w:val="002060"/>
          <w:sz w:val="20"/>
          <w:szCs w:val="20"/>
        </w:rPr>
      </w:pPr>
      <w:r>
        <w:rPr>
          <w:rFonts w:ascii="Century Gothic" w:hAnsi="Century Gothic"/>
          <w:color w:val="002060"/>
          <w:sz w:val="20"/>
          <w:szCs w:val="20"/>
        </w:rPr>
        <w:tab/>
      </w:r>
    </w:p>
    <w:p w14:paraId="06AA2E4C" w14:textId="66A0AD1C" w:rsidR="009B7D6D" w:rsidRPr="00CE3558" w:rsidRDefault="009B7D6D" w:rsidP="00A1346F">
      <w:pPr>
        <w:ind w:left="720" w:firstLine="720"/>
        <w:rPr>
          <w:rFonts w:ascii="Century Gothic" w:hAnsi="Century Gothic"/>
          <w:color w:val="002060"/>
          <w:sz w:val="20"/>
          <w:szCs w:val="20"/>
        </w:rPr>
      </w:pPr>
      <w:r w:rsidRPr="00CE3558">
        <w:rPr>
          <w:rFonts w:ascii="Century Gothic" w:hAnsi="Century Gothic"/>
          <w:color w:val="002060"/>
          <w:sz w:val="20"/>
          <w:szCs w:val="20"/>
        </w:rPr>
        <w:t>Mobile:</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5"/>
            <w:enabled/>
            <w:calcOnExit w:val="0"/>
            <w:textInput>
              <w:type w:val="number"/>
            </w:textInput>
          </w:ffData>
        </w:fldChar>
      </w:r>
      <w:bookmarkStart w:id="3" w:name="Text5"/>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3"/>
    </w:p>
    <w:p w14:paraId="789C6DA7" w14:textId="318D622C" w:rsidR="009B7D6D" w:rsidRDefault="009B7D6D" w:rsidP="003508BE">
      <w:pPr>
        <w:ind w:left="720" w:firstLine="720"/>
        <w:rPr>
          <w:rFonts w:ascii="Century Gothic" w:hAnsi="Century Gothic"/>
          <w:color w:val="002060"/>
          <w:sz w:val="20"/>
          <w:szCs w:val="20"/>
        </w:rPr>
      </w:pPr>
      <w:r w:rsidRPr="00CE3558">
        <w:rPr>
          <w:rFonts w:ascii="Century Gothic" w:hAnsi="Century Gothic"/>
          <w:color w:val="002060"/>
          <w:sz w:val="20"/>
          <w:szCs w:val="20"/>
        </w:rPr>
        <w:t>Email:</w:t>
      </w:r>
      <w:r w:rsidR="008945FB">
        <w:rPr>
          <w:rFonts w:ascii="Century Gothic" w:hAnsi="Century Gothic"/>
          <w:color w:val="002060"/>
          <w:sz w:val="20"/>
          <w:szCs w:val="20"/>
        </w:rPr>
        <w:tab/>
      </w:r>
      <w:r w:rsidR="008945FB">
        <w:rPr>
          <w:rFonts w:ascii="Century Gothic" w:hAnsi="Century Gothic"/>
          <w:color w:val="002060"/>
          <w:sz w:val="20"/>
          <w:szCs w:val="20"/>
        </w:rPr>
        <w:tab/>
      </w:r>
      <w:r w:rsidR="008945FB">
        <w:rPr>
          <w:rFonts w:ascii="Century Gothic" w:hAnsi="Century Gothic"/>
          <w:color w:val="002060"/>
          <w:sz w:val="20"/>
          <w:szCs w:val="20"/>
        </w:rPr>
        <w:fldChar w:fldCharType="begin">
          <w:ffData>
            <w:name w:val="Text6"/>
            <w:enabled/>
            <w:calcOnExit w:val="0"/>
            <w:textInput/>
          </w:ffData>
        </w:fldChar>
      </w:r>
      <w:bookmarkStart w:id="4" w:name="Text6"/>
      <w:r w:rsidR="008945FB">
        <w:rPr>
          <w:rFonts w:ascii="Century Gothic" w:hAnsi="Century Gothic"/>
          <w:color w:val="002060"/>
          <w:sz w:val="20"/>
          <w:szCs w:val="20"/>
        </w:rPr>
        <w:instrText xml:space="preserve"> FORMTEXT </w:instrText>
      </w:r>
      <w:r w:rsidR="008945FB">
        <w:rPr>
          <w:rFonts w:ascii="Century Gothic" w:hAnsi="Century Gothic"/>
          <w:color w:val="002060"/>
          <w:sz w:val="20"/>
          <w:szCs w:val="20"/>
        </w:rPr>
      </w:r>
      <w:r w:rsidR="008945FB">
        <w:rPr>
          <w:rFonts w:ascii="Century Gothic" w:hAnsi="Century Gothic"/>
          <w:color w:val="002060"/>
          <w:sz w:val="20"/>
          <w:szCs w:val="20"/>
        </w:rPr>
        <w:fldChar w:fldCharType="separate"/>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noProof/>
          <w:color w:val="002060"/>
          <w:sz w:val="20"/>
          <w:szCs w:val="20"/>
        </w:rPr>
        <w:t> </w:t>
      </w:r>
      <w:r w:rsidR="008945FB">
        <w:rPr>
          <w:rFonts w:ascii="Century Gothic" w:hAnsi="Century Gothic"/>
          <w:color w:val="002060"/>
          <w:sz w:val="20"/>
          <w:szCs w:val="20"/>
        </w:rPr>
        <w:fldChar w:fldCharType="end"/>
      </w:r>
      <w:bookmarkEnd w:id="4"/>
    </w:p>
    <w:p w14:paraId="37D21831" w14:textId="77777777" w:rsidR="003508BE" w:rsidRPr="00CE3558" w:rsidRDefault="003508BE" w:rsidP="00E6696D">
      <w:pPr>
        <w:ind w:left="720" w:firstLine="720"/>
        <w:jc w:val="right"/>
        <w:rPr>
          <w:rFonts w:ascii="Century Gothic" w:hAnsi="Century Gothic"/>
          <w:color w:val="002060"/>
          <w:sz w:val="20"/>
          <w:szCs w:val="20"/>
        </w:rPr>
      </w:pPr>
    </w:p>
    <w:p w14:paraId="44379851" w14:textId="1BFEB37A" w:rsidR="009B7D6D" w:rsidRPr="00CE3558" w:rsidRDefault="009B7D6D" w:rsidP="00184988">
      <w:pPr>
        <w:rPr>
          <w:rFonts w:ascii="Century Gothic" w:hAnsi="Century Gothic"/>
          <w:color w:val="002060"/>
          <w:sz w:val="20"/>
          <w:szCs w:val="20"/>
        </w:rPr>
      </w:pPr>
      <w:r w:rsidRPr="00CE3558">
        <w:rPr>
          <w:rFonts w:ascii="Century Gothic" w:hAnsi="Century Gothic"/>
          <w:color w:val="002060"/>
          <w:sz w:val="20"/>
          <w:szCs w:val="20"/>
        </w:rPr>
        <w:t>Agency Type</w:t>
      </w:r>
      <w:r w:rsidR="008945FB">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Pr>
          <w:rFonts w:ascii="Century Gothic" w:hAnsi="Century Gothic"/>
          <w:color w:val="002060"/>
          <w:sz w:val="20"/>
          <w:szCs w:val="20"/>
        </w:rPr>
        <w:tab/>
      </w:r>
      <w:r w:rsidR="00D72FD1" w:rsidRPr="00D72FD1">
        <w:rPr>
          <w:rFonts w:ascii="Century Gothic" w:hAnsi="Century Gothic"/>
          <w:b/>
          <w:bCs/>
          <w:color w:val="002060"/>
          <w:sz w:val="20"/>
          <w:szCs w:val="20"/>
        </w:rPr>
        <w:t>Agreed Fee:</w:t>
      </w:r>
      <w:r w:rsidR="00D72FD1">
        <w:rPr>
          <w:rFonts w:ascii="Century Gothic" w:hAnsi="Century Gothic"/>
          <w:color w:val="002060"/>
          <w:sz w:val="20"/>
          <w:szCs w:val="20"/>
        </w:rPr>
        <w:t xml:space="preserve"> </w:t>
      </w:r>
      <w:r w:rsidR="00D72FD1">
        <w:rPr>
          <w:rFonts w:ascii="Century Gothic" w:hAnsi="Century Gothic"/>
          <w:color w:val="002060"/>
          <w:sz w:val="20"/>
          <w:szCs w:val="20"/>
        </w:rPr>
        <w:fldChar w:fldCharType="begin">
          <w:ffData>
            <w:name w:val="Text13"/>
            <w:enabled/>
            <w:calcOnExit w:val="0"/>
            <w:textInput/>
          </w:ffData>
        </w:fldChar>
      </w:r>
      <w:bookmarkStart w:id="5" w:name="Text13"/>
      <w:r w:rsidR="00D72FD1">
        <w:rPr>
          <w:rFonts w:ascii="Century Gothic" w:hAnsi="Century Gothic"/>
          <w:color w:val="002060"/>
          <w:sz w:val="20"/>
          <w:szCs w:val="20"/>
        </w:rPr>
        <w:instrText xml:space="preserve"> FORMTEXT </w:instrText>
      </w:r>
      <w:r w:rsidR="00D72FD1">
        <w:rPr>
          <w:rFonts w:ascii="Century Gothic" w:hAnsi="Century Gothic"/>
          <w:color w:val="002060"/>
          <w:sz w:val="20"/>
          <w:szCs w:val="20"/>
        </w:rPr>
      </w:r>
      <w:r w:rsidR="00D72FD1">
        <w:rPr>
          <w:rFonts w:ascii="Century Gothic" w:hAnsi="Century Gothic"/>
          <w:color w:val="002060"/>
          <w:sz w:val="20"/>
          <w:szCs w:val="20"/>
        </w:rPr>
        <w:fldChar w:fldCharType="separate"/>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noProof/>
          <w:color w:val="002060"/>
          <w:sz w:val="20"/>
          <w:szCs w:val="20"/>
        </w:rPr>
        <w:t> </w:t>
      </w:r>
      <w:r w:rsidR="00D72FD1">
        <w:rPr>
          <w:rFonts w:ascii="Century Gothic" w:hAnsi="Century Gothic"/>
          <w:color w:val="002060"/>
          <w:sz w:val="20"/>
          <w:szCs w:val="20"/>
        </w:rPr>
        <w:fldChar w:fldCharType="end"/>
      </w:r>
      <w:bookmarkEnd w:id="5"/>
    </w:p>
    <w:p w14:paraId="477D0A71" w14:textId="3737920B" w:rsidR="00F554EA" w:rsidRPr="00CE3558" w:rsidRDefault="00D72FD1" w:rsidP="00F554EA">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1"/>
            <w:enabled/>
            <w:calcOnExit w:val="0"/>
            <w:checkBox>
              <w:sizeAuto/>
              <w:default w:val="0"/>
            </w:checkBox>
          </w:ffData>
        </w:fldChar>
      </w:r>
      <w:bookmarkStart w:id="6" w:name="Check1"/>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6"/>
      <w:r w:rsidR="00F554EA">
        <w:rPr>
          <w:rFonts w:ascii="Century Gothic" w:hAnsi="Century Gothic"/>
          <w:color w:val="002060"/>
          <w:sz w:val="20"/>
          <w:szCs w:val="20"/>
        </w:rPr>
        <w:tab/>
      </w:r>
      <w:r w:rsidR="009B7D6D" w:rsidRPr="00CE3558">
        <w:rPr>
          <w:rFonts w:ascii="Century Gothic" w:hAnsi="Century Gothic"/>
          <w:color w:val="002060"/>
          <w:sz w:val="20"/>
          <w:szCs w:val="20"/>
        </w:rPr>
        <w:t xml:space="preserve">Sole </w:t>
      </w:r>
      <w:r w:rsidR="00616558">
        <w:rPr>
          <w:rFonts w:ascii="Century Gothic" w:hAnsi="Century Gothic"/>
          <w:color w:val="002060"/>
          <w:sz w:val="20"/>
          <w:szCs w:val="20"/>
        </w:rPr>
        <w:t>Lettings</w:t>
      </w:r>
      <w:r w:rsidR="009B7D6D" w:rsidRPr="00CE3558">
        <w:rPr>
          <w:rFonts w:ascii="Century Gothic" w:hAnsi="Century Gothic"/>
          <w:color w:val="002060"/>
          <w:sz w:val="20"/>
          <w:szCs w:val="20"/>
        </w:rPr>
        <w:t xml:space="preserve"> Rights Agency</w:t>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2"/>
            <w:enabled/>
            <w:calcOnExit w:val="0"/>
            <w:checkBox>
              <w:sizeAuto/>
              <w:default w:val="0"/>
            </w:checkBox>
          </w:ffData>
        </w:fldChar>
      </w:r>
      <w:bookmarkStart w:id="7" w:name="Check2"/>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7"/>
      <w:r w:rsidR="00F554EA">
        <w:rPr>
          <w:rFonts w:ascii="Century Gothic" w:hAnsi="Century Gothic"/>
          <w:color w:val="002060"/>
          <w:sz w:val="20"/>
          <w:szCs w:val="20"/>
        </w:rPr>
        <w:tab/>
      </w:r>
      <w:r w:rsidR="00F554EA" w:rsidRPr="00CE3558">
        <w:rPr>
          <w:rFonts w:ascii="Century Gothic" w:hAnsi="Century Gothic"/>
          <w:color w:val="002060"/>
          <w:sz w:val="20"/>
          <w:szCs w:val="20"/>
        </w:rPr>
        <w:t>Multiple Agency</w:t>
      </w:r>
    </w:p>
    <w:p w14:paraId="3BEB49CF" w14:textId="4C7B7126" w:rsidR="00F554EA" w:rsidRPr="00F554EA" w:rsidRDefault="00F554EA" w:rsidP="00F554EA">
      <w:pPr>
        <w:spacing w:after="0" w:line="240" w:lineRule="auto"/>
        <w:rPr>
          <w:rFonts w:ascii="Century Gothic" w:eastAsia="Times New Roman" w:hAnsi="Century Gothic" w:cs="Times New Roman"/>
          <w:color w:val="002060"/>
          <w:kern w:val="0"/>
          <w:sz w:val="13"/>
          <w:szCs w:val="13"/>
          <w:lang w:eastAsia="en-GB"/>
          <w14:ligatures w14:val="none"/>
        </w:rPr>
      </w:pPr>
      <w:r w:rsidRPr="00F554EA">
        <w:rPr>
          <w:rFonts w:ascii="Century Gothic" w:eastAsia="Times New Roman" w:hAnsi="Century Gothic" w:cs="Times New Roman"/>
          <w:color w:val="002060"/>
          <w:kern w:val="0"/>
          <w:sz w:val="13"/>
          <w:szCs w:val="13"/>
          <w:lang w:eastAsia="en-GB"/>
          <w14:ligatures w14:val="none"/>
        </w:rPr>
        <w:t>Please note these fees are subject to our minimum fee. Please see the fees payable clause on page 2 of these terms.</w:t>
      </w:r>
    </w:p>
    <w:p w14:paraId="09E2F132" w14:textId="77777777" w:rsidR="001F323A" w:rsidRDefault="001F323A" w:rsidP="00184988">
      <w:pPr>
        <w:rPr>
          <w:rFonts w:ascii="Century Gothic" w:hAnsi="Century Gothic"/>
          <w:color w:val="002060"/>
          <w:sz w:val="20"/>
          <w:szCs w:val="20"/>
        </w:rPr>
      </w:pPr>
    </w:p>
    <w:p w14:paraId="49083568" w14:textId="6B4E0008" w:rsidR="00F554EA" w:rsidRPr="001F323A" w:rsidRDefault="00472C14" w:rsidP="00184988">
      <w:pPr>
        <w:rPr>
          <w:rFonts w:ascii="Century Gothic" w:hAnsi="Century Gothic"/>
          <w:color w:val="002060"/>
          <w:sz w:val="20"/>
          <w:szCs w:val="20"/>
        </w:rPr>
      </w:pPr>
      <w:r>
        <w:rPr>
          <w:rFonts w:ascii="Century Gothic" w:hAnsi="Century Gothic"/>
          <w:color w:val="002060"/>
          <w:sz w:val="20"/>
          <w:szCs w:val="20"/>
        </w:rPr>
        <w:t>Service Agreed</w:t>
      </w:r>
    </w:p>
    <w:p w14:paraId="5E7CB4E1" w14:textId="1E6B395D" w:rsidR="009B7D6D" w:rsidRDefault="001F323A" w:rsidP="00472C14">
      <w:pPr>
        <w:ind w:firstLine="720"/>
        <w:rPr>
          <w:rFonts w:ascii="Century Gothic" w:hAnsi="Century Gothic"/>
          <w:color w:val="002060"/>
          <w:sz w:val="20"/>
          <w:szCs w:val="20"/>
        </w:rPr>
      </w:pPr>
      <w:r>
        <w:rPr>
          <w:rFonts w:ascii="Century Gothic" w:hAnsi="Century Gothic"/>
          <w:color w:val="002060"/>
          <w:sz w:val="20"/>
          <w:szCs w:val="20"/>
        </w:rPr>
        <w:fldChar w:fldCharType="begin">
          <w:ffData>
            <w:name w:val="Check3"/>
            <w:enabled/>
            <w:calcOnExit w:val="0"/>
            <w:checkBox>
              <w:sizeAuto/>
              <w:default w:val="0"/>
            </w:checkBox>
          </w:ffData>
        </w:fldChar>
      </w:r>
      <w:bookmarkStart w:id="8" w:name="Check3"/>
      <w:r>
        <w:rPr>
          <w:rFonts w:ascii="Century Gothic" w:hAnsi="Century Gothic"/>
          <w:color w:val="002060"/>
          <w:sz w:val="20"/>
          <w:szCs w:val="20"/>
        </w:rPr>
        <w:instrText xml:space="preserve"> FORMCHECKBOX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color w:val="002060"/>
          <w:sz w:val="20"/>
          <w:szCs w:val="20"/>
        </w:rPr>
        <w:fldChar w:fldCharType="end"/>
      </w:r>
      <w:bookmarkEnd w:id="8"/>
      <w:r w:rsidR="00F554EA">
        <w:rPr>
          <w:rFonts w:ascii="Century Gothic" w:hAnsi="Century Gothic"/>
          <w:color w:val="002060"/>
          <w:sz w:val="20"/>
          <w:szCs w:val="20"/>
        </w:rPr>
        <w:t xml:space="preserve">      </w:t>
      </w:r>
      <w:r w:rsidR="00472C14">
        <w:rPr>
          <w:rFonts w:ascii="Century Gothic" w:hAnsi="Century Gothic"/>
          <w:color w:val="002060"/>
          <w:sz w:val="20"/>
          <w:szCs w:val="20"/>
        </w:rPr>
        <w:t>Let Only</w:t>
      </w:r>
      <w:r w:rsidR="00472C14">
        <w:rPr>
          <w:rFonts w:ascii="Century Gothic" w:hAnsi="Century Gothic"/>
          <w:color w:val="002060"/>
          <w:sz w:val="20"/>
          <w:szCs w:val="20"/>
        </w:rPr>
        <w:tab/>
      </w:r>
      <w:r w:rsidR="00F554EA">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4"/>
            <w:enabled/>
            <w:calcOnExit w:val="0"/>
            <w:checkBox>
              <w:sizeAuto/>
              <w:default w:val="0"/>
            </w:checkBox>
          </w:ffData>
        </w:fldChar>
      </w:r>
      <w:bookmarkStart w:id="9" w:name="Check4"/>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9"/>
      <w:r w:rsidR="00F554EA">
        <w:rPr>
          <w:rFonts w:ascii="Century Gothic" w:hAnsi="Century Gothic"/>
          <w:color w:val="002060"/>
          <w:sz w:val="20"/>
          <w:szCs w:val="20"/>
        </w:rPr>
        <w:t xml:space="preserve">      </w:t>
      </w:r>
      <w:r w:rsidR="00472C14">
        <w:rPr>
          <w:rFonts w:ascii="Century Gothic" w:hAnsi="Century Gothic"/>
          <w:color w:val="002060"/>
          <w:sz w:val="20"/>
          <w:szCs w:val="20"/>
        </w:rPr>
        <w:t>Rent Collection</w:t>
      </w:r>
      <w:r w:rsidR="00472C14">
        <w:rPr>
          <w:rFonts w:ascii="Century Gothic" w:hAnsi="Century Gothic"/>
          <w:color w:val="002060"/>
          <w:sz w:val="20"/>
          <w:szCs w:val="20"/>
        </w:rPr>
        <w:tab/>
      </w:r>
      <w:r w:rsidR="009B7D6D" w:rsidRPr="00CE3558">
        <w:rPr>
          <w:rFonts w:ascii="Century Gothic" w:hAnsi="Century Gothic"/>
          <w:color w:val="002060"/>
          <w:sz w:val="20"/>
          <w:szCs w:val="20"/>
        </w:rPr>
        <w:tab/>
      </w:r>
      <w:r w:rsidR="00F554EA">
        <w:rPr>
          <w:rFonts w:ascii="Century Gothic" w:hAnsi="Century Gothic"/>
          <w:color w:val="002060"/>
          <w:sz w:val="20"/>
          <w:szCs w:val="20"/>
        </w:rPr>
        <w:fldChar w:fldCharType="begin">
          <w:ffData>
            <w:name w:val="Check5"/>
            <w:enabled/>
            <w:calcOnExit w:val="0"/>
            <w:checkBox>
              <w:sizeAuto/>
              <w:default w:val="0"/>
            </w:checkBox>
          </w:ffData>
        </w:fldChar>
      </w:r>
      <w:bookmarkStart w:id="10" w:name="Check5"/>
      <w:r w:rsidR="00F554EA">
        <w:rPr>
          <w:rFonts w:ascii="Century Gothic" w:hAnsi="Century Gothic"/>
          <w:color w:val="002060"/>
          <w:sz w:val="20"/>
          <w:szCs w:val="20"/>
        </w:rPr>
        <w:instrText xml:space="preserve"> FORMCHECKBOX </w:instrText>
      </w:r>
      <w:r w:rsidR="00F554EA">
        <w:rPr>
          <w:rFonts w:ascii="Century Gothic" w:hAnsi="Century Gothic"/>
          <w:color w:val="002060"/>
          <w:sz w:val="20"/>
          <w:szCs w:val="20"/>
        </w:rPr>
      </w:r>
      <w:r w:rsidR="00F554EA">
        <w:rPr>
          <w:rFonts w:ascii="Century Gothic" w:hAnsi="Century Gothic"/>
          <w:color w:val="002060"/>
          <w:sz w:val="20"/>
          <w:szCs w:val="20"/>
        </w:rPr>
        <w:fldChar w:fldCharType="separate"/>
      </w:r>
      <w:r w:rsidR="00F554EA">
        <w:rPr>
          <w:rFonts w:ascii="Century Gothic" w:hAnsi="Century Gothic"/>
          <w:color w:val="002060"/>
          <w:sz w:val="20"/>
          <w:szCs w:val="20"/>
        </w:rPr>
        <w:fldChar w:fldCharType="end"/>
      </w:r>
      <w:bookmarkEnd w:id="10"/>
      <w:r w:rsidR="00F554EA">
        <w:rPr>
          <w:rFonts w:ascii="Century Gothic" w:hAnsi="Century Gothic"/>
          <w:color w:val="002060"/>
          <w:sz w:val="20"/>
          <w:szCs w:val="20"/>
        </w:rPr>
        <w:t xml:space="preserve">      </w:t>
      </w:r>
      <w:r w:rsidR="00472C14">
        <w:rPr>
          <w:rFonts w:ascii="Century Gothic" w:hAnsi="Century Gothic"/>
          <w:color w:val="002060"/>
          <w:sz w:val="20"/>
          <w:szCs w:val="20"/>
        </w:rPr>
        <w:t xml:space="preserve">Full Management </w:t>
      </w:r>
    </w:p>
    <w:p w14:paraId="2399D76E" w14:textId="77777777" w:rsidR="00472C14" w:rsidRDefault="00472C14" w:rsidP="00A1346F">
      <w:pPr>
        <w:rPr>
          <w:rFonts w:ascii="Century Gothic" w:hAnsi="Century Gothic"/>
          <w:color w:val="002060"/>
          <w:sz w:val="20"/>
          <w:szCs w:val="20"/>
        </w:rPr>
      </w:pPr>
    </w:p>
    <w:p w14:paraId="0A834E28" w14:textId="0F942A2C" w:rsidR="00472C14" w:rsidRPr="00CE3558" w:rsidRDefault="00472C14" w:rsidP="00A1346F">
      <w:pPr>
        <w:rPr>
          <w:rFonts w:ascii="Century Gothic" w:hAnsi="Century Gothic"/>
          <w:color w:val="002060"/>
          <w:sz w:val="20"/>
          <w:szCs w:val="20"/>
        </w:rPr>
      </w:pPr>
      <w:r>
        <w:rPr>
          <w:rFonts w:ascii="Century Gothic" w:hAnsi="Century Gothic"/>
          <w:color w:val="002060"/>
          <w:sz w:val="20"/>
          <w:szCs w:val="20"/>
        </w:rPr>
        <w:t xml:space="preserve">EPC Reference: </w:t>
      </w:r>
      <w:r>
        <w:rPr>
          <w:rFonts w:ascii="Century Gothic" w:hAnsi="Century Gothic"/>
          <w:color w:val="002060"/>
          <w:sz w:val="20"/>
          <w:szCs w:val="20"/>
        </w:rPr>
        <w:fldChar w:fldCharType="begin">
          <w:ffData>
            <w:name w:val="Text14"/>
            <w:enabled/>
            <w:calcOnExit w:val="0"/>
            <w:textInput/>
          </w:ffData>
        </w:fldChar>
      </w:r>
      <w:bookmarkStart w:id="11" w:name="Text14"/>
      <w:r>
        <w:rPr>
          <w:rFonts w:ascii="Century Gothic" w:hAnsi="Century Gothic"/>
          <w:color w:val="002060"/>
          <w:sz w:val="20"/>
          <w:szCs w:val="20"/>
        </w:rPr>
        <w:instrText xml:space="preserve"> FORMTEXT </w:instrText>
      </w:r>
      <w:r>
        <w:rPr>
          <w:rFonts w:ascii="Century Gothic" w:hAnsi="Century Gothic"/>
          <w:color w:val="002060"/>
          <w:sz w:val="20"/>
          <w:szCs w:val="20"/>
        </w:rPr>
      </w:r>
      <w:r>
        <w:rPr>
          <w:rFonts w:ascii="Century Gothic" w:hAnsi="Century Gothic"/>
          <w:color w:val="002060"/>
          <w:sz w:val="20"/>
          <w:szCs w:val="20"/>
        </w:rPr>
        <w:fldChar w:fldCharType="separate"/>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noProof/>
          <w:color w:val="002060"/>
          <w:sz w:val="20"/>
          <w:szCs w:val="20"/>
        </w:rPr>
        <w:t> </w:t>
      </w:r>
      <w:r>
        <w:rPr>
          <w:rFonts w:ascii="Century Gothic" w:hAnsi="Century Gothic"/>
          <w:color w:val="002060"/>
          <w:sz w:val="20"/>
          <w:szCs w:val="20"/>
        </w:rPr>
        <w:fldChar w:fldCharType="end"/>
      </w:r>
      <w:bookmarkEnd w:id="11"/>
      <w:r>
        <w:rPr>
          <w:rFonts w:ascii="Century Gothic" w:hAnsi="Century Gothic"/>
          <w:color w:val="002060"/>
          <w:sz w:val="20"/>
          <w:szCs w:val="20"/>
        </w:rPr>
        <w:tab/>
      </w:r>
      <w:r>
        <w:rPr>
          <w:rFonts w:ascii="Century Gothic" w:hAnsi="Century Gothic"/>
          <w:color w:val="002060"/>
          <w:sz w:val="20"/>
          <w:szCs w:val="20"/>
        </w:rPr>
        <w:tab/>
      </w:r>
      <w:r w:rsidR="00EE1005">
        <w:rPr>
          <w:rFonts w:ascii="Century Gothic" w:hAnsi="Century Gothic"/>
          <w:color w:val="002060"/>
          <w:sz w:val="20"/>
          <w:szCs w:val="20"/>
        </w:rPr>
        <w:tab/>
      </w:r>
      <w:r>
        <w:rPr>
          <w:rFonts w:ascii="Century Gothic" w:hAnsi="Century Gothic"/>
          <w:color w:val="002060"/>
          <w:sz w:val="20"/>
          <w:szCs w:val="20"/>
        </w:rPr>
        <w:t>EPC Expiry Date:</w:t>
      </w:r>
      <w:r w:rsidR="00EE1005">
        <w:rPr>
          <w:rFonts w:ascii="Century Gothic" w:hAnsi="Century Gothic"/>
          <w:color w:val="002060"/>
          <w:sz w:val="20"/>
          <w:szCs w:val="20"/>
        </w:rPr>
        <w:t xml:space="preserve"> </w:t>
      </w:r>
      <w:r w:rsidR="00EE1005">
        <w:rPr>
          <w:rFonts w:ascii="Century Gothic" w:hAnsi="Century Gothic"/>
          <w:color w:val="002060"/>
          <w:sz w:val="20"/>
          <w:szCs w:val="20"/>
        </w:rPr>
        <w:fldChar w:fldCharType="begin">
          <w:ffData>
            <w:name w:val="Text15"/>
            <w:enabled/>
            <w:calcOnExit w:val="0"/>
            <w:textInput/>
          </w:ffData>
        </w:fldChar>
      </w:r>
      <w:bookmarkStart w:id="12" w:name="Text15"/>
      <w:r w:rsidR="00EE1005">
        <w:rPr>
          <w:rFonts w:ascii="Century Gothic" w:hAnsi="Century Gothic"/>
          <w:color w:val="002060"/>
          <w:sz w:val="20"/>
          <w:szCs w:val="20"/>
        </w:rPr>
        <w:instrText xml:space="preserve"> FORMTEXT </w:instrText>
      </w:r>
      <w:r w:rsidR="00EE1005">
        <w:rPr>
          <w:rFonts w:ascii="Century Gothic" w:hAnsi="Century Gothic"/>
          <w:color w:val="002060"/>
          <w:sz w:val="20"/>
          <w:szCs w:val="20"/>
        </w:rPr>
      </w:r>
      <w:r w:rsidR="00EE1005">
        <w:rPr>
          <w:rFonts w:ascii="Century Gothic" w:hAnsi="Century Gothic"/>
          <w:color w:val="002060"/>
          <w:sz w:val="20"/>
          <w:szCs w:val="20"/>
        </w:rPr>
        <w:fldChar w:fldCharType="separate"/>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color w:val="002060"/>
          <w:sz w:val="20"/>
          <w:szCs w:val="20"/>
        </w:rPr>
        <w:fldChar w:fldCharType="end"/>
      </w:r>
      <w:bookmarkEnd w:id="12"/>
      <w:r>
        <w:rPr>
          <w:rFonts w:ascii="Century Gothic" w:hAnsi="Century Gothic"/>
          <w:color w:val="002060"/>
          <w:sz w:val="20"/>
          <w:szCs w:val="20"/>
        </w:rPr>
        <w:tab/>
      </w:r>
      <w:r>
        <w:rPr>
          <w:rFonts w:ascii="Century Gothic" w:hAnsi="Century Gothic"/>
          <w:color w:val="002060"/>
          <w:sz w:val="20"/>
          <w:szCs w:val="20"/>
        </w:rPr>
        <w:tab/>
      </w:r>
      <w:r w:rsidR="00EE1005">
        <w:rPr>
          <w:rFonts w:ascii="Century Gothic" w:hAnsi="Century Gothic"/>
          <w:color w:val="002060"/>
          <w:sz w:val="20"/>
          <w:szCs w:val="20"/>
        </w:rPr>
        <w:tab/>
      </w:r>
      <w:r>
        <w:rPr>
          <w:rFonts w:ascii="Century Gothic" w:hAnsi="Century Gothic"/>
          <w:color w:val="002060"/>
          <w:sz w:val="20"/>
          <w:szCs w:val="20"/>
        </w:rPr>
        <w:t xml:space="preserve">EICR Expiry Date: </w:t>
      </w:r>
      <w:r w:rsidR="00EE1005">
        <w:rPr>
          <w:rFonts w:ascii="Century Gothic" w:hAnsi="Century Gothic"/>
          <w:color w:val="002060"/>
          <w:sz w:val="20"/>
          <w:szCs w:val="20"/>
        </w:rPr>
        <w:fldChar w:fldCharType="begin">
          <w:ffData>
            <w:name w:val="Text16"/>
            <w:enabled/>
            <w:calcOnExit w:val="0"/>
            <w:textInput/>
          </w:ffData>
        </w:fldChar>
      </w:r>
      <w:bookmarkStart w:id="13" w:name="Text16"/>
      <w:r w:rsidR="00EE1005">
        <w:rPr>
          <w:rFonts w:ascii="Century Gothic" w:hAnsi="Century Gothic"/>
          <w:color w:val="002060"/>
          <w:sz w:val="20"/>
          <w:szCs w:val="20"/>
        </w:rPr>
        <w:instrText xml:space="preserve"> FORMTEXT </w:instrText>
      </w:r>
      <w:r w:rsidR="00EE1005">
        <w:rPr>
          <w:rFonts w:ascii="Century Gothic" w:hAnsi="Century Gothic"/>
          <w:color w:val="002060"/>
          <w:sz w:val="20"/>
          <w:szCs w:val="20"/>
        </w:rPr>
      </w:r>
      <w:r w:rsidR="00EE1005">
        <w:rPr>
          <w:rFonts w:ascii="Century Gothic" w:hAnsi="Century Gothic"/>
          <w:color w:val="002060"/>
          <w:sz w:val="20"/>
          <w:szCs w:val="20"/>
        </w:rPr>
        <w:fldChar w:fldCharType="separate"/>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noProof/>
          <w:color w:val="002060"/>
          <w:sz w:val="20"/>
          <w:szCs w:val="20"/>
        </w:rPr>
        <w:t> </w:t>
      </w:r>
      <w:r w:rsidR="00EE1005">
        <w:rPr>
          <w:rFonts w:ascii="Century Gothic" w:hAnsi="Century Gothic"/>
          <w:color w:val="002060"/>
          <w:sz w:val="20"/>
          <w:szCs w:val="20"/>
        </w:rPr>
        <w:fldChar w:fldCharType="end"/>
      </w:r>
      <w:bookmarkEnd w:id="13"/>
    </w:p>
    <w:p w14:paraId="033D2EA9" w14:textId="77777777" w:rsidR="00472C14" w:rsidRPr="00CE3558" w:rsidRDefault="00472C14" w:rsidP="00184988">
      <w:pPr>
        <w:rPr>
          <w:rFonts w:ascii="Century Gothic" w:hAnsi="Century Gothic"/>
          <w:color w:val="002060"/>
          <w:sz w:val="20"/>
          <w:szCs w:val="20"/>
        </w:rPr>
      </w:pPr>
    </w:p>
    <w:p w14:paraId="76719DE1" w14:textId="6F36B3A3" w:rsidR="009B7D6D" w:rsidRDefault="009B7D6D" w:rsidP="00184988">
      <w:pPr>
        <w:rPr>
          <w:rFonts w:ascii="Century Gothic" w:hAnsi="Century Gothic"/>
          <w:color w:val="002060"/>
          <w:sz w:val="20"/>
          <w:szCs w:val="20"/>
        </w:rPr>
      </w:pPr>
      <w:r w:rsidRPr="001F323A">
        <w:rPr>
          <w:rFonts w:ascii="Century Gothic" w:hAnsi="Century Gothic"/>
          <w:b/>
          <w:bCs/>
          <w:color w:val="002060"/>
          <w:sz w:val="21"/>
          <w:szCs w:val="21"/>
        </w:rPr>
        <w:t>Asking Price:</w:t>
      </w:r>
      <w:r w:rsidR="001F323A" w:rsidRPr="001F323A">
        <w:rPr>
          <w:rFonts w:ascii="Century Gothic" w:hAnsi="Century Gothic"/>
          <w:color w:val="002060"/>
          <w:sz w:val="21"/>
          <w:szCs w:val="21"/>
        </w:rPr>
        <w:t xml:space="preserve"> </w:t>
      </w:r>
      <w:r w:rsidR="001F323A">
        <w:rPr>
          <w:rFonts w:ascii="Century Gothic" w:hAnsi="Century Gothic"/>
          <w:color w:val="002060"/>
          <w:sz w:val="20"/>
          <w:szCs w:val="20"/>
        </w:rPr>
        <w:fldChar w:fldCharType="begin">
          <w:ffData>
            <w:name w:val="Text12"/>
            <w:enabled/>
            <w:calcOnExit w:val="0"/>
            <w:textInput/>
          </w:ffData>
        </w:fldChar>
      </w:r>
      <w:bookmarkStart w:id="14" w:name="Text12"/>
      <w:r w:rsidR="001F323A">
        <w:rPr>
          <w:rFonts w:ascii="Century Gothic" w:hAnsi="Century Gothic"/>
          <w:color w:val="002060"/>
          <w:sz w:val="20"/>
          <w:szCs w:val="20"/>
        </w:rPr>
        <w:instrText xml:space="preserve"> FORMTEXT </w:instrText>
      </w:r>
      <w:r w:rsidR="001F323A">
        <w:rPr>
          <w:rFonts w:ascii="Century Gothic" w:hAnsi="Century Gothic"/>
          <w:color w:val="002060"/>
          <w:sz w:val="20"/>
          <w:szCs w:val="20"/>
        </w:rPr>
      </w:r>
      <w:r w:rsidR="001F323A">
        <w:rPr>
          <w:rFonts w:ascii="Century Gothic" w:hAnsi="Century Gothic"/>
          <w:color w:val="002060"/>
          <w:sz w:val="20"/>
          <w:szCs w:val="20"/>
        </w:rPr>
        <w:fldChar w:fldCharType="separate"/>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noProof/>
          <w:color w:val="002060"/>
          <w:sz w:val="20"/>
          <w:szCs w:val="20"/>
        </w:rPr>
        <w:t> </w:t>
      </w:r>
      <w:r w:rsidR="001F323A">
        <w:rPr>
          <w:rFonts w:ascii="Century Gothic" w:hAnsi="Century Gothic"/>
          <w:color w:val="002060"/>
          <w:sz w:val="20"/>
          <w:szCs w:val="20"/>
        </w:rPr>
        <w:fldChar w:fldCharType="end"/>
      </w:r>
      <w:bookmarkEnd w:id="14"/>
    </w:p>
    <w:p w14:paraId="615C72EE" w14:textId="77777777" w:rsidR="00472C14" w:rsidRDefault="00472C14" w:rsidP="00184988">
      <w:pPr>
        <w:rPr>
          <w:rFonts w:ascii="Century Gothic" w:hAnsi="Century Gothic"/>
          <w:color w:val="002060"/>
          <w:sz w:val="20"/>
          <w:szCs w:val="20"/>
        </w:rPr>
      </w:pPr>
    </w:p>
    <w:p w14:paraId="2E595F01" w14:textId="1C9519A5" w:rsidR="001F323A" w:rsidRPr="001F323A" w:rsidRDefault="001F323A" w:rsidP="00184988">
      <w:pPr>
        <w:rPr>
          <w:rFonts w:ascii="Century Gothic" w:hAnsi="Century Gothic"/>
          <w:color w:val="002060"/>
          <w:sz w:val="20"/>
          <w:szCs w:val="20"/>
        </w:rPr>
      </w:pPr>
      <w:r>
        <w:rPr>
          <w:rFonts w:ascii="Century Gothic" w:hAnsi="Century Gothic"/>
          <w:noProof/>
          <w:color w:val="002060"/>
          <w:sz w:val="20"/>
          <w:szCs w:val="20"/>
        </w:rPr>
        <mc:AlternateContent>
          <mc:Choice Requires="wps">
            <w:drawing>
              <wp:anchor distT="0" distB="0" distL="114300" distR="114300" simplePos="0" relativeHeight="251664384" behindDoc="0" locked="0" layoutInCell="1" allowOverlap="1" wp14:anchorId="1F0583D8" wp14:editId="6EE88F0A">
                <wp:simplePos x="0" y="0"/>
                <wp:positionH relativeFrom="column">
                  <wp:posOffset>4994</wp:posOffset>
                </wp:positionH>
                <wp:positionV relativeFrom="paragraph">
                  <wp:posOffset>15996</wp:posOffset>
                </wp:positionV>
                <wp:extent cx="6164494" cy="1620891"/>
                <wp:effectExtent l="12700" t="12700" r="8255" b="17780"/>
                <wp:wrapNone/>
                <wp:docPr id="32868817" name="Rectangle 4"/>
                <wp:cNvGraphicFramePr/>
                <a:graphic xmlns:a="http://schemas.openxmlformats.org/drawingml/2006/main">
                  <a:graphicData uri="http://schemas.microsoft.com/office/word/2010/wordprocessingShape">
                    <wps:wsp>
                      <wps:cNvSpPr/>
                      <wps:spPr>
                        <a:xfrm>
                          <a:off x="0" y="0"/>
                          <a:ext cx="6164494" cy="162089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8DFAE38" w14:textId="19B623D9"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472C14">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0583D8" id="Rectangle 4" o:spid="_x0000_s1026" style="position:absolute;margin-left:.4pt;margin-top:1.25pt;width:485.4pt;height:127.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" fillcolor="#156082 [3204]" strokecolor="#030e13 [484]" strokeweight="1.5pt">
                <v:textbox>
                  <w:txbxContent>
                    <w:p w14:paraId="48DFAE38" w14:textId="19B623D9"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I confirm that the above information is accurate and that I have read and understood the terms and conditions contained within this document (overleaf).</w:t>
                      </w:r>
                      <w:r w:rsidR="00D72FD1">
                        <w:rPr>
                          <w:rFonts w:ascii="Century Gothic" w:eastAsia="Times New Roman" w:hAnsi="Century Gothic" w:cs="Times New Roman"/>
                          <w:color w:val="FEFEFE"/>
                          <w:kern w:val="0"/>
                          <w:sz w:val="16"/>
                          <w:szCs w:val="16"/>
                          <w:lang w:eastAsia="en-GB"/>
                          <w14:ligatures w14:val="none"/>
                        </w:rPr>
                        <w:t xml:space="preserve"> </w:t>
                      </w:r>
                      <w:r w:rsidRPr="001F323A">
                        <w:rPr>
                          <w:rFonts w:ascii="Century Gothic" w:eastAsia="Times New Roman" w:hAnsi="Century Gothic" w:cs="Times New Roman"/>
                          <w:color w:val="FEFEFE"/>
                          <w:kern w:val="0"/>
                          <w:sz w:val="16"/>
                          <w:szCs w:val="16"/>
                          <w:lang w:eastAsia="en-GB"/>
                          <w14:ligatures w14:val="none"/>
                        </w:rPr>
                        <w:t xml:space="preserve">I understand that I may have the right to cancel this agreement under the Consumer Contracts (Information, Cancellation and Additional Charges) Regulations 2013 within 14 calendar days after the date upon which it was signed and confirm that I wish </w:t>
                      </w:r>
                      <w:r w:rsidR="00472C14">
                        <w:rPr>
                          <w:rFonts w:ascii="Century Gothic" w:eastAsia="Times New Roman" w:hAnsi="Century Gothic" w:cs="Times New Roman"/>
                          <w:color w:val="FEFEFE"/>
                          <w:kern w:val="0"/>
                          <w:sz w:val="16"/>
                          <w:szCs w:val="16"/>
                          <w:lang w:eastAsia="en-GB"/>
                          <w14:ligatures w14:val="none"/>
                        </w:rPr>
                        <w:t>Flagstones</w:t>
                      </w:r>
                      <w:r w:rsidRPr="001F323A">
                        <w:rPr>
                          <w:rFonts w:ascii="Century Gothic" w:eastAsia="Times New Roman" w:hAnsi="Century Gothic" w:cs="Times New Roman"/>
                          <w:color w:val="FEFEFE"/>
                          <w:kern w:val="0"/>
                          <w:sz w:val="16"/>
                          <w:szCs w:val="16"/>
                          <w:lang w:eastAsia="en-GB"/>
                          <w14:ligatures w14:val="none"/>
                        </w:rPr>
                        <w:t xml:space="preserve"> to commence marketing the property immediately. I accept that in signing this document I am bound by its entire contents.</w:t>
                      </w:r>
                    </w:p>
                    <w:p w14:paraId="63F5DBBB" w14:textId="6FBE1D9D"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46CCFFA6" w14:textId="66633B5A"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 xml:space="preserve">Signed: </w:t>
                      </w:r>
                    </w:p>
                    <w:p w14:paraId="4782C266" w14:textId="108575C7" w:rsidR="00D72FD1"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155EFB6A" w14:textId="77777777" w:rsidR="00D72FD1" w:rsidRPr="001F323A" w:rsidRDefault="00D72FD1" w:rsidP="001F323A">
                      <w:pPr>
                        <w:spacing w:after="0" w:line="240" w:lineRule="auto"/>
                        <w:rPr>
                          <w:rFonts w:ascii="Century Gothic" w:eastAsia="Times New Roman" w:hAnsi="Century Gothic" w:cs="Times New Roman"/>
                          <w:color w:val="FEFEFE"/>
                          <w:kern w:val="0"/>
                          <w:sz w:val="16"/>
                          <w:szCs w:val="16"/>
                          <w:lang w:eastAsia="en-GB"/>
                          <w14:ligatures w14:val="none"/>
                        </w:rPr>
                      </w:pPr>
                    </w:p>
                    <w:p w14:paraId="704FE4F3" w14:textId="4CB86683" w:rsidR="001F323A" w:rsidRPr="001F323A" w:rsidRDefault="001F323A" w:rsidP="001F323A">
                      <w:pPr>
                        <w:spacing w:after="0" w:line="240" w:lineRule="auto"/>
                        <w:rPr>
                          <w:rFonts w:ascii="Century Gothic" w:eastAsia="Times New Roman" w:hAnsi="Century Gothic" w:cs="Times New Roman"/>
                          <w:color w:val="FEFEFE"/>
                          <w:kern w:val="0"/>
                          <w:sz w:val="16"/>
                          <w:szCs w:val="16"/>
                          <w:lang w:eastAsia="en-GB"/>
                          <w14:ligatures w14:val="none"/>
                        </w:rPr>
                      </w:pPr>
                      <w:r w:rsidRPr="001F323A">
                        <w:rPr>
                          <w:rFonts w:ascii="Century Gothic" w:eastAsia="Times New Roman" w:hAnsi="Century Gothic" w:cs="Times New Roman"/>
                          <w:color w:val="FEFEFE"/>
                          <w:kern w:val="0"/>
                          <w:sz w:val="16"/>
                          <w:szCs w:val="16"/>
                          <w:lang w:eastAsia="en-GB"/>
                          <w14:ligatures w14:val="none"/>
                        </w:rPr>
                        <w:t>Name:</w:t>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r>
                      <w:r w:rsidRPr="001F323A">
                        <w:rPr>
                          <w:rFonts w:ascii="Century Gothic" w:eastAsia="Times New Roman" w:hAnsi="Century Gothic" w:cs="Times New Roman"/>
                          <w:color w:val="FEFEFE"/>
                          <w:kern w:val="0"/>
                          <w:sz w:val="16"/>
                          <w:szCs w:val="16"/>
                          <w:lang w:eastAsia="en-GB"/>
                          <w14:ligatures w14:val="none"/>
                        </w:rPr>
                        <w:tab/>
                        <w:t xml:space="preserve">Date: </w:t>
                      </w:r>
                    </w:p>
                  </w:txbxContent>
                </v:textbox>
              </v:rect>
            </w:pict>
          </mc:Fallback>
        </mc:AlternateContent>
      </w:r>
    </w:p>
    <w:p w14:paraId="0B415D7F" w14:textId="77777777" w:rsidR="009B7D6D" w:rsidRDefault="009B7D6D" w:rsidP="00184988">
      <w:pPr>
        <w:rPr>
          <w:rFonts w:ascii="Century Gothic" w:hAnsi="Century Gothic"/>
          <w:color w:val="002060"/>
          <w:sz w:val="40"/>
          <w:szCs w:val="40"/>
        </w:rPr>
      </w:pPr>
    </w:p>
    <w:p w14:paraId="102D638C" w14:textId="0EB169F1" w:rsidR="00184988" w:rsidRPr="00184988" w:rsidRDefault="006F0E45" w:rsidP="00184988">
      <w:pPr>
        <w:rPr>
          <w:rFonts w:ascii="Century Gothic" w:hAnsi="Century Gothic"/>
          <w:color w:val="002060"/>
          <w:sz w:val="40"/>
          <w:szCs w:val="40"/>
        </w:rPr>
      </w:pPr>
      <w:r w:rsidRPr="00184988">
        <w:rPr>
          <w:rFonts w:ascii="Century Gothic" w:hAnsi="Century Gothic"/>
          <w:color w:val="002060"/>
          <w:sz w:val="40"/>
          <w:szCs w:val="40"/>
        </w:rPr>
        <w:t xml:space="preserve">Sales Terms and Conditions of </w:t>
      </w:r>
    </w:p>
    <w:p w14:paraId="0DF822CF" w14:textId="5AEE2D4E" w:rsidR="00D72FD1" w:rsidRPr="008C528F" w:rsidRDefault="00D72FD1" w:rsidP="00D72FD1">
      <w:pPr>
        <w:rPr>
          <w:rFonts w:ascii="Century Gothic" w:hAnsi="Century Gothic"/>
          <w:color w:val="002060"/>
          <w:sz w:val="44"/>
          <w:szCs w:val="44"/>
        </w:rPr>
      </w:pPr>
      <w:r w:rsidRPr="008C528F">
        <w:rPr>
          <w:rFonts w:ascii="Century Gothic" w:hAnsi="Century Gothic"/>
          <w:color w:val="002060"/>
          <w:sz w:val="40"/>
          <w:szCs w:val="40"/>
        </w:rPr>
        <w:t xml:space="preserve">Sales Terms and Conditions of </w:t>
      </w:r>
    </w:p>
    <w:p w14:paraId="0B61C336" w14:textId="77777777" w:rsidR="002F0ED4" w:rsidRPr="008B6C63" w:rsidRDefault="002F0ED4" w:rsidP="002F0ED4">
      <w:r w:rsidRPr="008B6C63">
        <w:rPr>
          <w:rFonts w:ascii="Century Gothic" w:hAnsi="Century Gothic"/>
          <w:noProof/>
          <w:color w:val="002060"/>
          <w:sz w:val="40"/>
          <w:szCs w:val="40"/>
        </w:rPr>
        <w:lastRenderedPageBreak/>
        <w:drawing>
          <wp:anchor distT="0" distB="0" distL="114300" distR="114300" simplePos="0" relativeHeight="251672576" behindDoc="0" locked="0" layoutInCell="1" allowOverlap="1" wp14:anchorId="20C14CAB" wp14:editId="4265FBDE">
            <wp:simplePos x="0" y="0"/>
            <wp:positionH relativeFrom="column">
              <wp:posOffset>4108903</wp:posOffset>
            </wp:positionH>
            <wp:positionV relativeFrom="paragraph">
              <wp:posOffset>0</wp:posOffset>
            </wp:positionV>
            <wp:extent cx="1752600" cy="902970"/>
            <wp:effectExtent l="0" t="0" r="0" b="0"/>
            <wp:wrapThrough wrapText="bothSides">
              <wp:wrapPolygon edited="0">
                <wp:start x="0" y="0"/>
                <wp:lineTo x="0" y="21266"/>
                <wp:lineTo x="21443" y="21266"/>
                <wp:lineTo x="21443" y="0"/>
                <wp:lineTo x="0" y="0"/>
              </wp:wrapPolygon>
            </wp:wrapThrough>
            <wp:docPr id="49102530" name="Picture 1" descr="A logo for a property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0790" name="Picture 1" descr="A logo for a property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2600" cy="902970"/>
                    </a:xfrm>
                    <a:prstGeom prst="rect">
                      <a:avLst/>
                    </a:prstGeom>
                  </pic:spPr>
                </pic:pic>
              </a:graphicData>
            </a:graphic>
            <wp14:sizeRelH relativeFrom="page">
              <wp14:pctWidth>0</wp14:pctWidth>
            </wp14:sizeRelH>
            <wp14:sizeRelV relativeFrom="page">
              <wp14:pctHeight>0</wp14:pctHeight>
            </wp14:sizeRelV>
          </wp:anchor>
        </w:drawing>
      </w:r>
      <w:r w:rsidRPr="008B6C63">
        <w:rPr>
          <w:rFonts w:ascii="Century Gothic" w:hAnsi="Century Gothic"/>
          <w:color w:val="002060"/>
          <w:sz w:val="36"/>
          <w:szCs w:val="36"/>
        </w:rPr>
        <w:t xml:space="preserve">Lettings Terms and Conditions of </w:t>
      </w:r>
    </w:p>
    <w:p w14:paraId="5E17ACC6" w14:textId="47772043" w:rsidR="00A1346F" w:rsidRPr="008B6C63" w:rsidRDefault="002F0ED4">
      <w:pPr>
        <w:rPr>
          <w:rFonts w:ascii="Century Gothic" w:hAnsi="Century Gothic"/>
          <w:color w:val="002060"/>
          <w:sz w:val="36"/>
          <w:szCs w:val="36"/>
        </w:rPr>
        <w:sectPr w:rsidR="00A1346F" w:rsidRPr="008B6C63" w:rsidSect="00D72FD1">
          <w:headerReference w:type="even" r:id="rId9"/>
          <w:headerReference w:type="default" r:id="rId10"/>
          <w:footerReference w:type="even" r:id="rId11"/>
          <w:footerReference w:type="default" r:id="rId12"/>
          <w:headerReference w:type="first" r:id="rId13"/>
          <w:footerReference w:type="first" r:id="rId14"/>
          <w:pgSz w:w="11906" w:h="16838"/>
          <w:pgMar w:top="1021" w:right="1077" w:bottom="1440" w:left="1077" w:header="0" w:footer="624" w:gutter="0"/>
          <w:cols w:space="708"/>
          <w:docGrid w:linePitch="360"/>
        </w:sectPr>
      </w:pPr>
      <w:r w:rsidRPr="008B6C63">
        <w:rPr>
          <w:rFonts w:ascii="Century Gothic" w:hAnsi="Century Gothic"/>
          <w:color w:val="002060"/>
          <w:sz w:val="36"/>
          <w:szCs w:val="36"/>
        </w:rPr>
        <w:t>Business, Fee and Expenses</w:t>
      </w:r>
    </w:p>
    <w:p w14:paraId="53EDFE40" w14:textId="77777777" w:rsidR="002F0ED4" w:rsidRDefault="002F0ED4" w:rsidP="002F0ED4">
      <w:pPr>
        <w:pStyle w:val="BodyText"/>
        <w:spacing w:line="276" w:lineRule="auto"/>
        <w:ind w:right="-283"/>
        <w:jc w:val="both"/>
        <w:rPr>
          <w:rFonts w:ascii="Century Gothic" w:hAnsi="Century Gothic"/>
          <w:b/>
          <w:bCs/>
          <w:color w:val="002060"/>
          <w:sz w:val="11"/>
          <w:szCs w:val="11"/>
        </w:rPr>
      </w:pPr>
    </w:p>
    <w:p w14:paraId="72758787" w14:textId="77777777" w:rsidR="008B6C63" w:rsidRDefault="008B6C63" w:rsidP="002F0ED4">
      <w:pPr>
        <w:pStyle w:val="BodyText"/>
        <w:spacing w:line="276" w:lineRule="auto"/>
        <w:ind w:left="-283" w:right="-283"/>
        <w:jc w:val="both"/>
        <w:rPr>
          <w:rFonts w:ascii="Century Gothic" w:hAnsi="Century Gothic"/>
          <w:b/>
          <w:bCs/>
          <w:color w:val="002060"/>
          <w:sz w:val="11"/>
          <w:szCs w:val="11"/>
        </w:rPr>
      </w:pPr>
    </w:p>
    <w:p w14:paraId="627887B5" w14:textId="60C7F7AD"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Sole Agent Agreement</w:t>
      </w:r>
    </w:p>
    <w:p w14:paraId="399E645F" w14:textId="0C84ECAE"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You hereby agree not to instruct any other agent during the term of this agreement. Under a Sole Agency appointment the fee will be due to us if at any time a Tenant moves into the Property: (a) who has been directly or indirectly introduced by us during the period of our agency agreement; or (b) with whom we have had negotiations about the Property during the said period; or (c) who has been Introduced by any other party during our Sole Agency agreement or its termination period. You will be liable to pay remuneration to us in each of the following circumstances: On our tenant-find service, the fee for the duration of the tenancy will be collected from the landlord from the initial month(s) rent received, or should you decide to collect the rent directly from your tenant, our invoice must be settled within 14 days of the start of the tenancy as outlined in clause four overleaf. On our rent collection service, the monthly rent will be collected on behalf of the landlord and fees deducted monthly for the entire period a tenant remains in the property as outlined in clause four overleaf. On our full management service, the monthly rent will be collected on behalf of the landlord and fees deducted monthly for the entire period a tenant remains in the property as outlined in clause four overleaf. Our fee is calculated at the rate of the agreed % of the final rental income achieved +VAT and our agreement has a minimum term of 12 weeks from the date of signing these terms &amp; conditions, 28 days’ notice in writing will be required to terminate your agreement.</w:t>
      </w:r>
    </w:p>
    <w:p w14:paraId="0C7D65EF"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Multiple Agency Agreement</w:t>
      </w:r>
    </w:p>
    <w:p w14:paraId="41BC37FF" w14:textId="77777777"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Our fee is calculated at the agreed rate of % of the final rental income achieved +VAT and our agreement has a minimum term of 12 weeks from the date of signing these terms &amp; conditions, 28 days’ notice in writing will be required to terminate your agreement. Where a multi-agency agreement follows a period of acting as sole agent the multi-agency fee will replace the sole seller fee with immediate effect.</w:t>
      </w:r>
    </w:p>
    <w:p w14:paraId="6CBD17FD" w14:textId="7758B5BB"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 xml:space="preserve">Withdrawal Fees </w:t>
      </w:r>
    </w:p>
    <w:p w14:paraId="2D4E2365" w14:textId="1B9A5D1B"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Flagstones reserves the right to request a nominal withdrawal fee of 10% of the agreed fee payable should the property be withdrawn from the market during our agreed minimum period/an asking price offer is rejected from a ready willing and able tenant. The above withdrawal fee will not be payable In the unlikely event that Flagstones have been proven to have breached the full obligations of this contract.</w:t>
      </w:r>
    </w:p>
    <w:p w14:paraId="29B0B57B" w14:textId="77777777" w:rsidR="002F0ED4" w:rsidRPr="008B6C63" w:rsidRDefault="002F0ED4" w:rsidP="002F0ED4">
      <w:pPr>
        <w:pStyle w:val="BodyText"/>
        <w:spacing w:line="276" w:lineRule="auto"/>
        <w:ind w:left="-283" w:right="-283"/>
        <w:jc w:val="both"/>
        <w:rPr>
          <w:rFonts w:ascii="Century Gothic" w:hAnsi="Century Gothic"/>
          <w:b/>
          <w:bCs/>
          <w:color w:val="002060"/>
          <w:sz w:val="11"/>
          <w:szCs w:val="11"/>
        </w:rPr>
      </w:pPr>
      <w:r w:rsidRPr="008B6C63">
        <w:rPr>
          <w:rFonts w:ascii="Century Gothic" w:hAnsi="Century Gothic"/>
          <w:b/>
          <w:bCs/>
          <w:color w:val="002060"/>
          <w:sz w:val="11"/>
          <w:szCs w:val="11"/>
        </w:rPr>
        <w:t>Payment of Flagstones Fees</w:t>
      </w:r>
    </w:p>
    <w:p w14:paraId="7B2EF6B6" w14:textId="2774D340"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Flagstones fees become due once a tenancy agreement has been signed by all parties, reference checks have been completed, and a deposit has been received. However, if this is not possible then payment in full at point of move in would also be deemed acceptable unless rent collect ion has been requested therefore meaning fees will be deducted from the monthly rent.</w:t>
      </w:r>
    </w:p>
    <w:p w14:paraId="53BBABD0"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 xml:space="preserve">Our Charges </w:t>
      </w:r>
    </w:p>
    <w:p w14:paraId="051AB3DB" w14:textId="77777777" w:rsidR="008B6C63"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Prices quoted in this section include VAT unless otherwise stated. An administration fee of £395 (plus VAT) will be charged for every new Tenancy to cover the following pre-tenancy arrangements: Negotiate terms and draw up a bespoke Tenancy Agreement. Collect thorough references on prospective Tenants. Carry out Right to Rent Checks on all Tenants. Protect the security deposit with an approved scheme. Provide the Tenant with prescribed information and deposit certificate. Arrange for a check-in and check-out inventory. Arrange contractors to carry out the Energy Performance Certificate and Gas Safety Check. Check the smoke and carbon monoxide alarms. A fee of £240 will be charged for every renewal or periodic Tenancy and deducted from the rent to cover the Tenancy administration and deposit protection. We will arrange at your cost one set of keys for each Tenant and one set for us. To be deducted from the first month’s rent or payable by separate invoice payable within 14 days of the start of the tenancy A fee of £30 will be charged for every international bank transfer we are required to arrange. If you instruct us to arrange an Energy Performance Certificate, Flagstones can instruct an approved contractor at a cost of £99. We will arrange an inventory, check-in and check-out report, Flagstones will instruct an approved contractor. Prices are dependent on the number of rooms and level of furnishings.  If you instruct us to apply for a license on your behalf, we will apply an administration fee to the cost of the license. Prices are dependent on the type of license required. If you instruct us to arrange any repairs of the Property between £350 and £2.500, we will apply a project management and administration fee of 12%. If we are instructed to arrange any work exceeding £2,500, we will apply a project management and administration fee of up to 24% of the total cost of the work. All contractors are only instructed by us on your behalf. We reserve the right to charge the contractor an administration fee for the services and insurance that we provide to them (further information available upon request). If you withdraw the Property from the market within the contract period after an offer is made to you by a Tenant at the asking rent and you decline that offer, we reserve the right to charge a fee of £1000. A minimum fee of</w:t>
      </w:r>
    </w:p>
    <w:p w14:paraId="042AA7A6" w14:textId="77777777" w:rsidR="008B6C63" w:rsidRDefault="008B6C63" w:rsidP="002F0ED4">
      <w:pPr>
        <w:pStyle w:val="BodyText"/>
        <w:spacing w:line="276" w:lineRule="auto"/>
        <w:ind w:left="-283" w:right="-283"/>
        <w:jc w:val="both"/>
        <w:rPr>
          <w:rFonts w:ascii="Century Gothic" w:hAnsi="Century Gothic"/>
          <w:color w:val="002060"/>
          <w:sz w:val="11"/>
          <w:szCs w:val="11"/>
        </w:rPr>
      </w:pPr>
    </w:p>
    <w:p w14:paraId="675FD0D8" w14:textId="77777777" w:rsidR="008B6C63" w:rsidRDefault="008B6C63" w:rsidP="002F0ED4">
      <w:pPr>
        <w:pStyle w:val="BodyText"/>
        <w:spacing w:line="276" w:lineRule="auto"/>
        <w:ind w:left="-283" w:right="-283"/>
        <w:jc w:val="both"/>
        <w:rPr>
          <w:rFonts w:ascii="Century Gothic" w:hAnsi="Century Gothic"/>
          <w:color w:val="002060"/>
          <w:sz w:val="11"/>
          <w:szCs w:val="11"/>
        </w:rPr>
      </w:pPr>
    </w:p>
    <w:p w14:paraId="4A0774B2" w14:textId="77777777" w:rsidR="008B6C63" w:rsidRDefault="008B6C63" w:rsidP="002F0ED4">
      <w:pPr>
        <w:pStyle w:val="BodyText"/>
        <w:spacing w:line="276" w:lineRule="auto"/>
        <w:ind w:left="-283" w:right="-283"/>
        <w:jc w:val="both"/>
        <w:rPr>
          <w:rFonts w:ascii="Century Gothic" w:hAnsi="Century Gothic"/>
          <w:color w:val="002060"/>
          <w:sz w:val="11"/>
          <w:szCs w:val="11"/>
        </w:rPr>
      </w:pPr>
    </w:p>
    <w:p w14:paraId="02DDE88A" w14:textId="77777777" w:rsidR="008B6C63" w:rsidRDefault="008B6C63" w:rsidP="002F0ED4">
      <w:pPr>
        <w:pStyle w:val="BodyText"/>
        <w:spacing w:line="276" w:lineRule="auto"/>
        <w:ind w:left="-283" w:right="-283"/>
        <w:jc w:val="both"/>
        <w:rPr>
          <w:rFonts w:ascii="Century Gothic" w:hAnsi="Century Gothic"/>
          <w:color w:val="002060"/>
          <w:sz w:val="11"/>
          <w:szCs w:val="11"/>
        </w:rPr>
      </w:pPr>
    </w:p>
    <w:p w14:paraId="34FC50BC" w14:textId="162EA929" w:rsidR="002F0ED4" w:rsidRDefault="002F0ED4" w:rsidP="008B6C63">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£750 (excluding administration charged) is applicable to every Tenancy. All other charges </w:t>
      </w:r>
    </w:p>
    <w:p w14:paraId="46BE2EDE" w14:textId="4EB20C9F" w:rsid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are due and payable when incurred and we reserve the right to withhold any part of the</w:t>
      </w:r>
      <w:r>
        <w:rPr>
          <w:rFonts w:ascii="Century Gothic" w:hAnsi="Century Gothic"/>
          <w:color w:val="002060"/>
          <w:sz w:val="11"/>
          <w:szCs w:val="11"/>
        </w:rPr>
        <w:t xml:space="preserve"> </w:t>
      </w:r>
    </w:p>
    <w:p w14:paraId="701ACA9A" w14:textId="0918C907" w:rsid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rent to meet these costs and/or to discharge them from any sum held by us on your behalf.</w:t>
      </w:r>
    </w:p>
    <w:p w14:paraId="632B5831" w14:textId="10ADA189"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b/>
          <w:bCs/>
          <w:color w:val="002060"/>
          <w:sz w:val="11"/>
          <w:szCs w:val="11"/>
        </w:rPr>
        <w:t>Our Services</w:t>
      </w:r>
    </w:p>
    <w:p w14:paraId="10E33F5F" w14:textId="77777777"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Please refer to our Management Services on the last page of this document for a full list of the services we provide. Collecting Rent: Please allow up to five working days for cleared funds to reach your account. We may carry out a Land Registry search on your property and request proof of identification, prior to paying rent to you. We will make a formal demand for and take all other reasonable steps necessary (without issuing court proceedings), to recover any arrears or rent. We may deduct basic rate tax if you live outside the UK for more than six months in a calendar year. However, you can apply to HMRC to receive your rental income without a tax deduction at source. Please speak to us if you would like more information.</w:t>
      </w:r>
    </w:p>
    <w:p w14:paraId="5AB9677A" w14:textId="16E4C4DF"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Utilities</w:t>
      </w:r>
    </w:p>
    <w:p w14:paraId="7F0E46EE" w14:textId="186AF804"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We will manage utilities for the Property and notify the relevant utility suppliers of the change of occupancy. Flagstones may appoint a new licensed utility provider to take on the supply for the property, and these providers may pay Flagstones a commission. However, this will not prevent you or your Tenant from changing to a different energy provider if desired. We may be required to pass your name and contact details to third party energy providers. </w:t>
      </w:r>
    </w:p>
    <w:p w14:paraId="61C406AE"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Deposit</w:t>
      </w:r>
    </w:p>
    <w:p w14:paraId="3841228B" w14:textId="6BC8065D"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We will retain the Deposit as stakeholders under the Tenancy Agreement for all non-Assured Short hold Tenancies and under the terms of the Deposit Protection Service for all Assured Short hold Tenancies. Interest accrued from the Deposit, if any, will be retained by Flagstones. We can also offer the Flagstones No Deposit Option to any Tenant who passes our referencing process. This removes the requirement for your Tenant to pay an up-front deposit yet will offer the same protection to you. </w:t>
      </w:r>
    </w:p>
    <w:p w14:paraId="35D70676"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Full Property Management</w:t>
      </w:r>
    </w:p>
    <w:p w14:paraId="151FC026" w14:textId="77777777"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We will inform you of any works or repairs and contact you for permission to proceed if the cost is likely to exceed £500, except in the case of emergencies. We will look to instruct approved contractors with whom we have a service agreement, or our internal contractors. We reserve the right to charge the contractor an administration fee for the services and insurance that we provide to them (further information available upon request). We will deduct a float of £250 from the final rental payment to cover any expenditure incurred between the final rent date and the end of the Tenancy period. This will be returned to you once all outstanding invoices have been paid. We will retain a float of £500 if the rent is paid six months in advance, or £1,000 when the rent is paid annually in advance. This is to cover any expenditure incurred prior to the next rental payment. </w:t>
      </w:r>
    </w:p>
    <w:p w14:paraId="7E1B3F21" w14:textId="77777777"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 xml:space="preserve">General </w:t>
      </w:r>
    </w:p>
    <w:p w14:paraId="7651C035" w14:textId="32714FBA"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 xml:space="preserve">FPG will always endeavor to provide the best service possible but accepts no responsibility for any loss or damage suffered by you as a result of: (a) Any failure on the part of the Tenant to observe the terms of the Tenancy Agreement, or comply with any obligation imposed by law; or (b) Any defective workmanship or problems associated with third party contractors instructed to do work on your behalf; or (c) Any failure by you to comply with the terms of any relevant lease, mortgage, or insurance policy relating to the Property; or any failure by you to maintain adequate insurance cover. (d) Your failure to adhere to any Local Authority licensing schemes, including mandatory HMOs, additional and selective license schemes. Additionally, we reserve the right to notify the Local Authority if you have not provided us with a copy of a required license. Please refer to our comprehensive Privacy Policy online at flagstonespropertygroup.co.uk which is also available in hard copy upon request from any Flagstones office. You agree that Flagstones can use your property details for future marketing. Referencing services may provide insurance products and may pay Flagstones a commission should you take out an insurance policy with them. You acknowledge that Flagstones has a procedure for handling any complaints and may disclose information relating to the lettings and management of the Property to The Property Ombudsman or the RICS, should it relate to a complaint or the monitoring of Flagstones compliance with the code of practice. A copy of our complaint procedure is available on request. </w:t>
      </w:r>
    </w:p>
    <w:p w14:paraId="09887156" w14:textId="3947AEC2" w:rsidR="002F0ED4" w:rsidRPr="002F0ED4" w:rsidRDefault="002F0ED4" w:rsidP="002F0ED4">
      <w:pPr>
        <w:pStyle w:val="BodyText"/>
        <w:spacing w:line="276" w:lineRule="auto"/>
        <w:ind w:left="-283" w:right="-283"/>
        <w:jc w:val="both"/>
        <w:rPr>
          <w:rFonts w:ascii="Century Gothic" w:hAnsi="Century Gothic"/>
          <w:b/>
          <w:bCs/>
          <w:color w:val="002060"/>
          <w:sz w:val="11"/>
          <w:szCs w:val="11"/>
        </w:rPr>
      </w:pPr>
      <w:r w:rsidRPr="002F0ED4">
        <w:rPr>
          <w:rFonts w:ascii="Century Gothic" w:hAnsi="Century Gothic"/>
          <w:b/>
          <w:bCs/>
          <w:color w:val="002060"/>
          <w:sz w:val="11"/>
          <w:szCs w:val="11"/>
        </w:rPr>
        <w:t>This Agreement</w:t>
      </w:r>
    </w:p>
    <w:p w14:paraId="74065563" w14:textId="6374D3B1" w:rsidR="002F0ED4" w:rsidRPr="002F0ED4" w:rsidRDefault="002F0ED4" w:rsidP="002F0ED4">
      <w:pPr>
        <w:pStyle w:val="BodyText"/>
        <w:spacing w:line="276" w:lineRule="auto"/>
        <w:ind w:left="-283" w:right="-283"/>
        <w:jc w:val="both"/>
        <w:rPr>
          <w:rFonts w:ascii="Century Gothic" w:hAnsi="Century Gothic"/>
          <w:color w:val="002060"/>
          <w:sz w:val="11"/>
          <w:szCs w:val="11"/>
        </w:rPr>
      </w:pPr>
      <w:r w:rsidRPr="002F0ED4">
        <w:rPr>
          <w:rFonts w:ascii="Century Gothic" w:hAnsi="Century Gothic"/>
          <w:color w:val="002060"/>
          <w:sz w:val="11"/>
          <w:szCs w:val="11"/>
        </w:rPr>
        <w:t>The Estate Agents (Provision of Information) Regulations 1991 provide that the information above must be given in writing as soon as communication with the client commences, or as soon thereafter as is practicable. Our terms of business do not supersede any existing arrangements you may in place with your current agent, in any event we would strongly recommend that you ensure your previous agreement has been cancelled to avoid paying two fees at any time.</w:t>
      </w:r>
    </w:p>
    <w:p w14:paraId="54834058" w14:textId="77777777" w:rsidR="002F0ED4" w:rsidRDefault="002F0ED4" w:rsidP="00184988">
      <w:pPr>
        <w:spacing w:after="0"/>
        <w:rPr>
          <w:rFonts w:ascii="Century Gothic" w:hAnsi="Century Gothic"/>
          <w:b/>
          <w:bCs/>
          <w:color w:val="002060"/>
          <w:sz w:val="11"/>
          <w:szCs w:val="11"/>
        </w:rPr>
        <w:sectPr w:rsidR="002F0ED4" w:rsidSect="00472C14">
          <w:type w:val="continuous"/>
          <w:pgSz w:w="11906" w:h="16838"/>
          <w:pgMar w:top="1440" w:right="1440" w:bottom="1440" w:left="1440" w:header="708" w:footer="708" w:gutter="0"/>
          <w:cols w:num="2" w:space="708"/>
          <w:docGrid w:linePitch="360"/>
        </w:sectPr>
      </w:pPr>
    </w:p>
    <w:p w14:paraId="270D26E0" w14:textId="77777777" w:rsidR="002F0ED4" w:rsidRDefault="002F0ED4" w:rsidP="00184988">
      <w:pPr>
        <w:spacing w:after="0"/>
        <w:rPr>
          <w:rFonts w:ascii="Century Gothic" w:hAnsi="Century Gothic"/>
          <w:b/>
          <w:bCs/>
          <w:color w:val="002060"/>
          <w:sz w:val="11"/>
          <w:szCs w:val="11"/>
        </w:rPr>
      </w:pPr>
    </w:p>
    <w:p w14:paraId="2C164D4D" w14:textId="410CE72B" w:rsidR="00184988" w:rsidRPr="008C528F" w:rsidRDefault="00184988" w:rsidP="00184988">
      <w:pPr>
        <w:spacing w:after="0"/>
        <w:rPr>
          <w:rFonts w:ascii="Century Gothic" w:hAnsi="Century Gothic"/>
          <w:b/>
          <w:bCs/>
          <w:color w:val="002060"/>
          <w:sz w:val="11"/>
          <w:szCs w:val="11"/>
        </w:rPr>
      </w:pPr>
      <w:r w:rsidRPr="008C528F">
        <w:rPr>
          <w:rFonts w:ascii="Century Gothic" w:hAnsi="Century Gothic"/>
          <w:b/>
          <w:bCs/>
          <w:color w:val="002060"/>
          <w:sz w:val="11"/>
          <w:szCs w:val="11"/>
        </w:rPr>
        <w:t xml:space="preserve">Notice of the Right to Cancel </w:t>
      </w:r>
    </w:p>
    <w:p w14:paraId="6A4A989B" w14:textId="51577CB6" w:rsidR="002F0ED4" w:rsidRDefault="002F0ED4" w:rsidP="002F0ED4">
      <w:pPr>
        <w:rPr>
          <w:rFonts w:ascii="Century Gothic" w:hAnsi="Century Gothic"/>
          <w:color w:val="002060"/>
          <w:sz w:val="11"/>
          <w:szCs w:val="11"/>
        </w:rPr>
      </w:pPr>
      <w:r w:rsidRPr="00D72FD1">
        <w:rPr>
          <w:rFonts w:ascii="Century Gothic" w:hAnsi="Century Gothic"/>
          <w:noProof/>
          <w:color w:val="002060"/>
          <w:sz w:val="16"/>
          <w:szCs w:val="16"/>
        </w:rPr>
        <w:drawing>
          <wp:anchor distT="0" distB="0" distL="114300" distR="114300" simplePos="0" relativeHeight="251658240" behindDoc="0" locked="0" layoutInCell="1" allowOverlap="1" wp14:anchorId="435927C8" wp14:editId="42228C1D">
            <wp:simplePos x="0" y="0"/>
            <wp:positionH relativeFrom="column">
              <wp:posOffset>-125095</wp:posOffset>
            </wp:positionH>
            <wp:positionV relativeFrom="paragraph">
              <wp:posOffset>558837</wp:posOffset>
            </wp:positionV>
            <wp:extent cx="1420495" cy="505460"/>
            <wp:effectExtent l="0" t="0" r="1905" b="2540"/>
            <wp:wrapThrough wrapText="bothSides">
              <wp:wrapPolygon edited="0">
                <wp:start x="0" y="0"/>
                <wp:lineTo x="0" y="21166"/>
                <wp:lineTo x="21436" y="21166"/>
                <wp:lineTo x="21436" y="0"/>
                <wp:lineTo x="0" y="0"/>
              </wp:wrapPolygon>
            </wp:wrapThrough>
            <wp:docPr id="1328955073" name="Picture 1" descr="The Property Ombudsman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Property Ombudsman - Wikip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20495" cy="505460"/>
                    </a:xfrm>
                    <a:prstGeom prst="rect">
                      <a:avLst/>
                    </a:prstGeom>
                    <a:noFill/>
                    <a:ln>
                      <a:noFill/>
                    </a:ln>
                  </pic:spPr>
                </pic:pic>
              </a:graphicData>
            </a:graphic>
            <wp14:sizeRelH relativeFrom="page">
              <wp14:pctWidth>0</wp14:pctWidth>
            </wp14:sizeRelH>
            <wp14:sizeRelV relativeFrom="page">
              <wp14:pctHeight>0</wp14:pctHeight>
            </wp14:sizeRelV>
          </wp:anchor>
        </w:drawing>
      </w:r>
      <w:r w:rsidR="00184988" w:rsidRPr="008C528F">
        <w:rPr>
          <w:rFonts w:ascii="Century Gothic" w:hAnsi="Century Gothic"/>
          <w:color w:val="002060"/>
          <w:sz w:val="11"/>
          <w:szCs w:val="11"/>
        </w:rPr>
        <w:t xml:space="preserve">You may have the right to cancel this contract under the Consumer Contracts (Information, Cancellation and Additional Charges) Regulations 2013 within 14 calendar days after the date upon which it was signed. Notice of Cancellation MUST BE IN WRITING and should be delivered or sent by post to the Cancellations Department, Flagstones Property Group, 104 Havelock Hub, Harrow, HA1 1LJ; or by email to </w:t>
      </w:r>
      <w:hyperlink r:id="rId16" w:history="1">
        <w:r w:rsidR="00184988" w:rsidRPr="008C528F">
          <w:rPr>
            <w:rStyle w:val="Hyperlink"/>
            <w:rFonts w:ascii="Century Gothic" w:hAnsi="Century Gothic"/>
            <w:color w:val="002060"/>
            <w:sz w:val="11"/>
            <w:szCs w:val="11"/>
          </w:rPr>
          <w:t>info@flagstonespg.co.uk</w:t>
        </w:r>
      </w:hyperlink>
      <w:r w:rsidR="00184988" w:rsidRPr="008C528F">
        <w:rPr>
          <w:rFonts w:ascii="Century Gothic" w:hAnsi="Century Gothic"/>
          <w:color w:val="002060"/>
          <w:sz w:val="11"/>
          <w:szCs w:val="11"/>
        </w:rPr>
        <w:t xml:space="preserve">. Any Notice of Cancellation is deemed served on the day that it is delivered, posted or sent. If you have given us your written agreement to market your property within the cancellation </w:t>
      </w:r>
      <w:r w:rsidR="00D72FD1" w:rsidRPr="008C528F">
        <w:rPr>
          <w:rFonts w:ascii="Century Gothic" w:hAnsi="Century Gothic"/>
          <w:color w:val="002060"/>
          <w:sz w:val="11"/>
          <w:szCs w:val="11"/>
        </w:rPr>
        <w:t>period,</w:t>
      </w:r>
      <w:r w:rsidR="00184988" w:rsidRPr="008C528F">
        <w:rPr>
          <w:rFonts w:ascii="Century Gothic" w:hAnsi="Century Gothic"/>
          <w:color w:val="002060"/>
          <w:sz w:val="11"/>
          <w:szCs w:val="11"/>
        </w:rPr>
        <w:t xml:space="preserve"> you may be required to pay our commission fees if we have introduced a purchaser to your property prior to your serving a Notice of Cancellation.</w:t>
      </w:r>
    </w:p>
    <w:p w14:paraId="4A484623" w14:textId="25B7B79F" w:rsidR="002F0ED4" w:rsidRPr="002F0ED4" w:rsidRDefault="006F0E45" w:rsidP="002F0ED4">
      <w:pPr>
        <w:rPr>
          <w:rFonts w:ascii="Century Gothic" w:hAnsi="Century Gothic"/>
          <w:color w:val="002060"/>
          <w:sz w:val="11"/>
          <w:szCs w:val="11"/>
        </w:rPr>
        <w:sectPr w:rsidR="002F0ED4" w:rsidRPr="002F0ED4" w:rsidSect="002F0ED4">
          <w:type w:val="continuous"/>
          <w:pgSz w:w="11906" w:h="16838"/>
          <w:pgMar w:top="1440" w:right="1440" w:bottom="1440" w:left="1440" w:header="709" w:footer="709" w:gutter="0"/>
          <w:cols w:space="708"/>
          <w:docGrid w:linePitch="360"/>
        </w:sectPr>
      </w:pPr>
      <w:r w:rsidRPr="00D72FD1">
        <w:rPr>
          <w:rFonts w:ascii="Century Gothic" w:hAnsi="Century Gothic"/>
          <w:color w:val="002060"/>
          <w:sz w:val="10"/>
          <w:szCs w:val="10"/>
        </w:rPr>
        <w:t>We are members of The Property Ombudsman and abide by The Property Ombudsman Code of Practice. You agree that we may disclose information relating to the sale of your property to The Property Ombudsman, if you or the applicant have registered a complaint and The Property Ombudsman asks for it. You also agree that we may disclose your contact details to The Property Ombudsman if they ask for them, to assist in their monitoring of our compliance with the Code of Practice.</w:t>
      </w:r>
      <w:r w:rsidR="002F0ED4">
        <w:rPr>
          <w:rFonts w:ascii="Century Gothic" w:hAnsi="Century Gothic"/>
          <w:color w:val="002060"/>
          <w:sz w:val="10"/>
          <w:szCs w:val="10"/>
        </w:rPr>
        <w:t xml:space="preserve"> </w:t>
      </w:r>
      <w:r w:rsidRPr="00D72FD1">
        <w:rPr>
          <w:rFonts w:ascii="Century Gothic" w:hAnsi="Century Gothic"/>
          <w:color w:val="002060"/>
          <w:sz w:val="10"/>
          <w:szCs w:val="10"/>
        </w:rPr>
        <w:t xml:space="preserve">Flagstones Property Group, 104 Havelock Hub, Harrow, HA1 1LJ. Registration No: </w:t>
      </w:r>
      <w:r w:rsidRPr="00D72FD1">
        <w:rPr>
          <w:rFonts w:ascii="Century Gothic" w:hAnsi="Century Gothic" w:cs="Arial"/>
          <w:b/>
          <w:bCs/>
          <w:color w:val="002060"/>
          <w:sz w:val="10"/>
          <w:szCs w:val="10"/>
        </w:rPr>
        <w:t>1397707</w:t>
      </w:r>
      <w:r w:rsidR="00E944F4">
        <w:rPr>
          <w:rFonts w:ascii="Century Gothic" w:hAnsi="Century Gothic" w:cs="Arial"/>
          <w:b/>
          <w:bCs/>
          <w:color w:val="002060"/>
          <w:sz w:val="10"/>
          <w:szCs w:val="10"/>
        </w:rPr>
        <w:t>5</w:t>
      </w:r>
    </w:p>
    <w:p w14:paraId="43CA3947" w14:textId="77777777" w:rsidR="00472C14" w:rsidRPr="00BD5B7D" w:rsidRDefault="00472C14" w:rsidP="00BD5B7D">
      <w:pPr>
        <w:tabs>
          <w:tab w:val="left" w:pos="2640"/>
        </w:tabs>
      </w:pPr>
    </w:p>
    <w:sectPr w:rsidR="00472C14" w:rsidRPr="00BD5B7D" w:rsidSect="00184988">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285A1" w14:textId="77777777" w:rsidR="007B0E43" w:rsidRDefault="007B0E43" w:rsidP="009B7D6D">
      <w:pPr>
        <w:spacing w:after="0" w:line="240" w:lineRule="auto"/>
      </w:pPr>
      <w:r>
        <w:separator/>
      </w:r>
    </w:p>
  </w:endnote>
  <w:endnote w:type="continuationSeparator" w:id="0">
    <w:p w14:paraId="19A87CB7" w14:textId="77777777" w:rsidR="007B0E43" w:rsidRDefault="007B0E43" w:rsidP="009B7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9067356"/>
      <w:docPartObj>
        <w:docPartGallery w:val="Page Numbers (Bottom of Page)"/>
        <w:docPartUnique/>
      </w:docPartObj>
    </w:sdtPr>
    <w:sdtContent>
      <w:p w14:paraId="18036000" w14:textId="49CBE161" w:rsidR="009B7D6D" w:rsidRDefault="009B7D6D" w:rsidP="008E23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A44AF3B" w14:textId="77777777" w:rsidR="009B7D6D" w:rsidRDefault="009B7D6D" w:rsidP="009B7D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7853648"/>
      <w:docPartObj>
        <w:docPartGallery w:val="Page Numbers (Bottom of Page)"/>
        <w:docPartUnique/>
      </w:docPartObj>
    </w:sdtPr>
    <w:sdtContent>
      <w:p w14:paraId="29EE4EB3" w14:textId="5AE3DE08" w:rsidR="009B7D6D" w:rsidRDefault="009B7D6D" w:rsidP="008E2311">
        <w:pPr>
          <w:pStyle w:val="Footer"/>
          <w:framePr w:wrap="none" w:vAnchor="text" w:hAnchor="margin" w:xAlign="right" w:y="1"/>
          <w:rPr>
            <w:rStyle w:val="PageNumber"/>
          </w:rPr>
        </w:pPr>
        <w:r w:rsidRPr="009B7D6D">
          <w:rPr>
            <w:rStyle w:val="PageNumber"/>
            <w:rFonts w:ascii="Century Gothic" w:hAnsi="Century Gothic"/>
            <w:color w:val="002060"/>
            <w:sz w:val="21"/>
            <w:szCs w:val="21"/>
          </w:rPr>
          <w:fldChar w:fldCharType="begin"/>
        </w:r>
        <w:r w:rsidRPr="009B7D6D">
          <w:rPr>
            <w:rStyle w:val="PageNumber"/>
            <w:rFonts w:ascii="Century Gothic" w:hAnsi="Century Gothic"/>
            <w:color w:val="002060"/>
            <w:sz w:val="21"/>
            <w:szCs w:val="21"/>
          </w:rPr>
          <w:instrText xml:space="preserve"> PAGE </w:instrText>
        </w:r>
        <w:r w:rsidRPr="009B7D6D">
          <w:rPr>
            <w:rStyle w:val="PageNumber"/>
            <w:rFonts w:ascii="Century Gothic" w:hAnsi="Century Gothic"/>
            <w:color w:val="002060"/>
            <w:sz w:val="21"/>
            <w:szCs w:val="21"/>
          </w:rPr>
          <w:fldChar w:fldCharType="separate"/>
        </w:r>
        <w:r w:rsidRPr="009B7D6D">
          <w:rPr>
            <w:rStyle w:val="PageNumber"/>
            <w:rFonts w:ascii="Century Gothic" w:hAnsi="Century Gothic"/>
            <w:noProof/>
            <w:color w:val="002060"/>
            <w:sz w:val="21"/>
            <w:szCs w:val="21"/>
          </w:rPr>
          <w:t>1</w:t>
        </w:r>
        <w:r w:rsidRPr="009B7D6D">
          <w:rPr>
            <w:rStyle w:val="PageNumber"/>
            <w:rFonts w:ascii="Century Gothic" w:hAnsi="Century Gothic"/>
            <w:color w:val="002060"/>
            <w:sz w:val="21"/>
            <w:szCs w:val="21"/>
          </w:rPr>
          <w:fldChar w:fldCharType="end"/>
        </w:r>
      </w:p>
    </w:sdtContent>
  </w:sdt>
  <w:p w14:paraId="4FF94C3B" w14:textId="77777777" w:rsidR="009B7D6D" w:rsidRDefault="009B7D6D" w:rsidP="009B7D6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E2AF4" w14:textId="77777777" w:rsidR="00E6696D" w:rsidRDefault="00E669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36B75" w14:textId="77777777" w:rsidR="007B0E43" w:rsidRDefault="007B0E43" w:rsidP="009B7D6D">
      <w:pPr>
        <w:spacing w:after="0" w:line="240" w:lineRule="auto"/>
      </w:pPr>
      <w:r>
        <w:separator/>
      </w:r>
    </w:p>
  </w:footnote>
  <w:footnote w:type="continuationSeparator" w:id="0">
    <w:p w14:paraId="7C32F749" w14:textId="77777777" w:rsidR="007B0E43" w:rsidRDefault="007B0E43" w:rsidP="009B7D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B64D4" w14:textId="1880ACBE" w:rsidR="00D72FD1" w:rsidRDefault="007B0E43">
    <w:pPr>
      <w:pStyle w:val="Header"/>
    </w:pPr>
    <w:r>
      <w:rPr>
        <w:noProof/>
      </w:rPr>
      <w:pict w14:anchorId="2B9FAC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2253784" o:spid="_x0000_s1027" type="#_x0000_t75" alt="" style="position:absolute;margin-left:0;margin-top:0;width:487.5pt;height:411pt;z-index:-251645952;mso-wrap-edited:f;mso-width-percent:0;mso-height-percent:0;mso-position-horizontal:center;mso-position-horizontal-relative:margin;mso-position-vertical:center;mso-position-vertical-relative:margin;mso-width-percent:0;mso-height-percent:0" o:allowincell="f">
          <v:imagedata r:id="rId1" o:title="Picture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9FE3A" w14:textId="0324CFA9" w:rsidR="00D72FD1" w:rsidRDefault="007B0E43">
    <w:pPr>
      <w:pStyle w:val="Header"/>
    </w:pPr>
    <w:r>
      <w:rPr>
        <w:noProof/>
      </w:rPr>
      <w:pict w14:anchorId="20ED56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2253785" o:spid="_x0000_s1026" type="#_x0000_t75" alt="" style="position:absolute;margin-left:0;margin-top:0;width:487.5pt;height:411pt;z-index:-251643904;mso-wrap-edited:f;mso-width-percent:0;mso-height-percent:0;mso-position-horizontal:center;mso-position-horizontal-relative:margin;mso-position-vertical:center;mso-position-vertical-relative:margin;mso-width-percent:0;mso-height-percent:0" o:allowincell="f">
          <v:imagedata r:id="rId1" o:title="Picture 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56966" w14:textId="4093F73C" w:rsidR="00D72FD1" w:rsidRDefault="007B0E43">
    <w:pPr>
      <w:pStyle w:val="Header"/>
    </w:pPr>
    <w:r>
      <w:rPr>
        <w:noProof/>
      </w:rPr>
      <w:pict w14:anchorId="4A2218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2253783" o:spid="_x0000_s1025" type="#_x0000_t75" alt="" style="position:absolute;margin-left:0;margin-top:0;width:487.5pt;height:411pt;z-index:-251648000;mso-wrap-edited:f;mso-width-percent:0;mso-height-percent:0;mso-position-horizontal:center;mso-position-horizontal-relative:margin;mso-position-vertical:center;mso-position-vertical-relative:margin;mso-width-percent:0;mso-height-percent:0" o:allowincell="f">
          <v:imagedata r:id="rId1" o:title="Picture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23FCF"/>
    <w:multiLevelType w:val="hybridMultilevel"/>
    <w:tmpl w:val="953EF8B4"/>
    <w:lvl w:ilvl="0" w:tplc="0104597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DF230DB"/>
    <w:multiLevelType w:val="multilevel"/>
    <w:tmpl w:val="C5701294"/>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cstheme="minorBidi" w:hint="default"/>
        <w:color w:val="0E2841" w:themeColor="text2"/>
      </w:rPr>
    </w:lvl>
    <w:lvl w:ilvl="2">
      <w:start w:val="1"/>
      <w:numFmt w:val="decimal"/>
      <w:isLgl/>
      <w:lvlText w:val="%1.%2.%3"/>
      <w:lvlJc w:val="left"/>
      <w:pPr>
        <w:ind w:left="720" w:hanging="360"/>
      </w:pPr>
      <w:rPr>
        <w:rFonts w:cstheme="minorBidi" w:hint="default"/>
        <w:color w:val="0E2841" w:themeColor="text2"/>
      </w:rPr>
    </w:lvl>
    <w:lvl w:ilvl="3">
      <w:start w:val="1"/>
      <w:numFmt w:val="decimal"/>
      <w:isLgl/>
      <w:lvlText w:val="%1.%2.%3.%4"/>
      <w:lvlJc w:val="left"/>
      <w:pPr>
        <w:ind w:left="1080" w:hanging="720"/>
      </w:pPr>
      <w:rPr>
        <w:rFonts w:cstheme="minorBidi" w:hint="default"/>
        <w:color w:val="0E2841" w:themeColor="text2"/>
      </w:rPr>
    </w:lvl>
    <w:lvl w:ilvl="4">
      <w:start w:val="1"/>
      <w:numFmt w:val="decimal"/>
      <w:isLgl/>
      <w:lvlText w:val="%1.%2.%3.%4.%5"/>
      <w:lvlJc w:val="left"/>
      <w:pPr>
        <w:ind w:left="1080" w:hanging="720"/>
      </w:pPr>
      <w:rPr>
        <w:rFonts w:cstheme="minorBidi" w:hint="default"/>
        <w:color w:val="0E2841" w:themeColor="text2"/>
      </w:rPr>
    </w:lvl>
    <w:lvl w:ilvl="5">
      <w:start w:val="1"/>
      <w:numFmt w:val="decimal"/>
      <w:isLgl/>
      <w:lvlText w:val="%1.%2.%3.%4.%5.%6"/>
      <w:lvlJc w:val="left"/>
      <w:pPr>
        <w:ind w:left="1080" w:hanging="720"/>
      </w:pPr>
      <w:rPr>
        <w:rFonts w:cstheme="minorBidi" w:hint="default"/>
        <w:color w:val="0E2841" w:themeColor="text2"/>
      </w:rPr>
    </w:lvl>
    <w:lvl w:ilvl="6">
      <w:start w:val="1"/>
      <w:numFmt w:val="decimal"/>
      <w:isLgl/>
      <w:lvlText w:val="%1.%2.%3.%4.%5.%6.%7"/>
      <w:lvlJc w:val="left"/>
      <w:pPr>
        <w:ind w:left="1440" w:hanging="1080"/>
      </w:pPr>
      <w:rPr>
        <w:rFonts w:cstheme="minorBidi" w:hint="default"/>
        <w:color w:val="0E2841" w:themeColor="text2"/>
      </w:rPr>
    </w:lvl>
    <w:lvl w:ilvl="7">
      <w:start w:val="1"/>
      <w:numFmt w:val="decimal"/>
      <w:isLgl/>
      <w:lvlText w:val="%1.%2.%3.%4.%5.%6.%7.%8"/>
      <w:lvlJc w:val="left"/>
      <w:pPr>
        <w:ind w:left="1440" w:hanging="1080"/>
      </w:pPr>
      <w:rPr>
        <w:rFonts w:cstheme="minorBidi" w:hint="default"/>
        <w:color w:val="0E2841" w:themeColor="text2"/>
      </w:rPr>
    </w:lvl>
    <w:lvl w:ilvl="8">
      <w:start w:val="1"/>
      <w:numFmt w:val="decimal"/>
      <w:isLgl/>
      <w:lvlText w:val="%1.%2.%3.%4.%5.%6.%7.%8.%9"/>
      <w:lvlJc w:val="left"/>
      <w:pPr>
        <w:ind w:left="1440" w:hanging="1080"/>
      </w:pPr>
      <w:rPr>
        <w:rFonts w:cstheme="minorBidi" w:hint="default"/>
        <w:color w:val="0E2841" w:themeColor="text2"/>
      </w:rPr>
    </w:lvl>
  </w:abstractNum>
  <w:abstractNum w:abstractNumId="2" w15:restartNumberingAfterBreak="0">
    <w:nsid w:val="410F1ADD"/>
    <w:multiLevelType w:val="multilevel"/>
    <w:tmpl w:val="85A826D8"/>
    <w:lvl w:ilvl="0">
      <w:start w:val="7"/>
      <w:numFmt w:val="decimal"/>
      <w:lvlText w:val="%1.0"/>
      <w:lvlJc w:val="left"/>
      <w:pPr>
        <w:ind w:left="360" w:hanging="360"/>
      </w:pPr>
      <w:rPr>
        <w:rFonts w:hint="default"/>
        <w:color w:val="156082" w:themeColor="accent1"/>
      </w:rPr>
    </w:lvl>
    <w:lvl w:ilvl="1">
      <w:start w:val="1"/>
      <w:numFmt w:val="decimal"/>
      <w:lvlText w:val="%1.%2"/>
      <w:lvlJc w:val="left"/>
      <w:pPr>
        <w:ind w:left="1080" w:hanging="360"/>
      </w:pPr>
      <w:rPr>
        <w:rFonts w:hint="default"/>
        <w:color w:val="156082" w:themeColor="accent1"/>
      </w:rPr>
    </w:lvl>
    <w:lvl w:ilvl="2">
      <w:start w:val="1"/>
      <w:numFmt w:val="decimal"/>
      <w:lvlText w:val="%1.%2.%3"/>
      <w:lvlJc w:val="left"/>
      <w:pPr>
        <w:ind w:left="1800" w:hanging="360"/>
      </w:pPr>
      <w:rPr>
        <w:rFonts w:hint="default"/>
        <w:color w:val="156082" w:themeColor="accent1"/>
      </w:rPr>
    </w:lvl>
    <w:lvl w:ilvl="3">
      <w:start w:val="1"/>
      <w:numFmt w:val="decimal"/>
      <w:lvlText w:val="%1.%2.%3.%4"/>
      <w:lvlJc w:val="left"/>
      <w:pPr>
        <w:ind w:left="2520" w:hanging="360"/>
      </w:pPr>
      <w:rPr>
        <w:rFonts w:hint="default"/>
        <w:color w:val="156082" w:themeColor="accent1"/>
      </w:rPr>
    </w:lvl>
    <w:lvl w:ilvl="4">
      <w:start w:val="1"/>
      <w:numFmt w:val="decimal"/>
      <w:lvlText w:val="%1.%2.%3.%4.%5"/>
      <w:lvlJc w:val="left"/>
      <w:pPr>
        <w:ind w:left="3600" w:hanging="720"/>
      </w:pPr>
      <w:rPr>
        <w:rFonts w:hint="default"/>
        <w:color w:val="156082" w:themeColor="accent1"/>
      </w:rPr>
    </w:lvl>
    <w:lvl w:ilvl="5">
      <w:start w:val="1"/>
      <w:numFmt w:val="decimal"/>
      <w:lvlText w:val="%1.%2.%3.%4.%5.%6"/>
      <w:lvlJc w:val="left"/>
      <w:pPr>
        <w:ind w:left="4320" w:hanging="720"/>
      </w:pPr>
      <w:rPr>
        <w:rFonts w:hint="default"/>
        <w:color w:val="156082" w:themeColor="accent1"/>
      </w:rPr>
    </w:lvl>
    <w:lvl w:ilvl="6">
      <w:start w:val="1"/>
      <w:numFmt w:val="decimal"/>
      <w:lvlText w:val="%1.%2.%3.%4.%5.%6.%7"/>
      <w:lvlJc w:val="left"/>
      <w:pPr>
        <w:ind w:left="5040" w:hanging="720"/>
      </w:pPr>
      <w:rPr>
        <w:rFonts w:hint="default"/>
        <w:color w:val="156082" w:themeColor="accent1"/>
      </w:rPr>
    </w:lvl>
    <w:lvl w:ilvl="7">
      <w:start w:val="1"/>
      <w:numFmt w:val="decimal"/>
      <w:lvlText w:val="%1.%2.%3.%4.%5.%6.%7.%8"/>
      <w:lvlJc w:val="left"/>
      <w:pPr>
        <w:ind w:left="5760" w:hanging="720"/>
      </w:pPr>
      <w:rPr>
        <w:rFonts w:hint="default"/>
        <w:color w:val="156082" w:themeColor="accent1"/>
      </w:rPr>
    </w:lvl>
    <w:lvl w:ilvl="8">
      <w:start w:val="1"/>
      <w:numFmt w:val="decimal"/>
      <w:lvlText w:val="%1.%2.%3.%4.%5.%6.%7.%8.%9"/>
      <w:lvlJc w:val="left"/>
      <w:pPr>
        <w:ind w:left="6840" w:hanging="1080"/>
      </w:pPr>
      <w:rPr>
        <w:rFonts w:hint="default"/>
        <w:color w:val="156082" w:themeColor="accent1"/>
      </w:rPr>
    </w:lvl>
  </w:abstractNum>
  <w:abstractNum w:abstractNumId="3" w15:restartNumberingAfterBreak="0">
    <w:nsid w:val="46B831B6"/>
    <w:multiLevelType w:val="hybridMultilevel"/>
    <w:tmpl w:val="B01E1ED8"/>
    <w:lvl w:ilvl="0" w:tplc="0809000B">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5B836F32"/>
    <w:multiLevelType w:val="multilevel"/>
    <w:tmpl w:val="C0E45D76"/>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720" w:hanging="36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080" w:hanging="720"/>
      </w:pPr>
      <w:rPr>
        <w:rFonts w:hint="default"/>
      </w:rPr>
    </w:lvl>
    <w:lvl w:ilvl="7">
      <w:start w:val="1"/>
      <w:numFmt w:val="decimal"/>
      <w:isLgl/>
      <w:lvlText w:val="%1.%2.%3.%4.%5.%6.%7.%8"/>
      <w:lvlJc w:val="left"/>
      <w:pPr>
        <w:ind w:left="1080" w:hanging="720"/>
      </w:pPr>
      <w:rPr>
        <w:rFonts w:hint="default"/>
      </w:rPr>
    </w:lvl>
    <w:lvl w:ilvl="8">
      <w:start w:val="1"/>
      <w:numFmt w:val="decimal"/>
      <w:isLgl/>
      <w:lvlText w:val="%1.%2.%3.%4.%5.%6.%7.%8.%9"/>
      <w:lvlJc w:val="left"/>
      <w:pPr>
        <w:ind w:left="1440" w:hanging="1080"/>
      </w:pPr>
      <w:rPr>
        <w:rFonts w:hint="default"/>
      </w:rPr>
    </w:lvl>
  </w:abstractNum>
  <w:abstractNum w:abstractNumId="5" w15:restartNumberingAfterBreak="0">
    <w:nsid w:val="6F9F6D81"/>
    <w:multiLevelType w:val="multilevel"/>
    <w:tmpl w:val="612E96C0"/>
    <w:lvl w:ilvl="0">
      <w:start w:val="8"/>
      <w:numFmt w:val="decimal"/>
      <w:lvlText w:val="%1.0"/>
      <w:lvlJc w:val="left"/>
      <w:pPr>
        <w:ind w:left="720" w:hanging="360"/>
      </w:pPr>
      <w:rPr>
        <w:rFonts w:hint="default"/>
        <w:color w:val="156082" w:themeColor="accent1"/>
      </w:rPr>
    </w:lvl>
    <w:lvl w:ilvl="1">
      <w:start w:val="1"/>
      <w:numFmt w:val="decimal"/>
      <w:lvlText w:val="%1.%2"/>
      <w:lvlJc w:val="left"/>
      <w:pPr>
        <w:ind w:left="1440" w:hanging="360"/>
      </w:pPr>
      <w:rPr>
        <w:rFonts w:hint="default"/>
        <w:color w:val="156082" w:themeColor="accent1"/>
      </w:rPr>
    </w:lvl>
    <w:lvl w:ilvl="2">
      <w:start w:val="1"/>
      <w:numFmt w:val="decimal"/>
      <w:lvlText w:val="%1.%2.%3"/>
      <w:lvlJc w:val="left"/>
      <w:pPr>
        <w:ind w:left="2160" w:hanging="360"/>
      </w:pPr>
      <w:rPr>
        <w:rFonts w:hint="default"/>
        <w:color w:val="156082" w:themeColor="accent1"/>
      </w:rPr>
    </w:lvl>
    <w:lvl w:ilvl="3">
      <w:start w:val="1"/>
      <w:numFmt w:val="decimal"/>
      <w:lvlText w:val="%1.%2.%3.%4"/>
      <w:lvlJc w:val="left"/>
      <w:pPr>
        <w:ind w:left="2880" w:hanging="360"/>
      </w:pPr>
      <w:rPr>
        <w:rFonts w:hint="default"/>
        <w:color w:val="156082" w:themeColor="accent1"/>
      </w:rPr>
    </w:lvl>
    <w:lvl w:ilvl="4">
      <w:start w:val="1"/>
      <w:numFmt w:val="decimal"/>
      <w:lvlText w:val="%1.%2.%3.%4.%5"/>
      <w:lvlJc w:val="left"/>
      <w:pPr>
        <w:ind w:left="3960" w:hanging="720"/>
      </w:pPr>
      <w:rPr>
        <w:rFonts w:hint="default"/>
        <w:color w:val="156082" w:themeColor="accent1"/>
      </w:rPr>
    </w:lvl>
    <w:lvl w:ilvl="5">
      <w:start w:val="1"/>
      <w:numFmt w:val="decimal"/>
      <w:lvlText w:val="%1.%2.%3.%4.%5.%6"/>
      <w:lvlJc w:val="left"/>
      <w:pPr>
        <w:ind w:left="4680" w:hanging="720"/>
      </w:pPr>
      <w:rPr>
        <w:rFonts w:hint="default"/>
        <w:color w:val="156082" w:themeColor="accent1"/>
      </w:rPr>
    </w:lvl>
    <w:lvl w:ilvl="6">
      <w:start w:val="1"/>
      <w:numFmt w:val="decimal"/>
      <w:lvlText w:val="%1.%2.%3.%4.%5.%6.%7"/>
      <w:lvlJc w:val="left"/>
      <w:pPr>
        <w:ind w:left="5400" w:hanging="720"/>
      </w:pPr>
      <w:rPr>
        <w:rFonts w:hint="default"/>
        <w:color w:val="156082" w:themeColor="accent1"/>
      </w:rPr>
    </w:lvl>
    <w:lvl w:ilvl="7">
      <w:start w:val="1"/>
      <w:numFmt w:val="decimal"/>
      <w:lvlText w:val="%1.%2.%3.%4.%5.%6.%7.%8"/>
      <w:lvlJc w:val="left"/>
      <w:pPr>
        <w:ind w:left="6120" w:hanging="720"/>
      </w:pPr>
      <w:rPr>
        <w:rFonts w:hint="default"/>
        <w:color w:val="156082" w:themeColor="accent1"/>
      </w:rPr>
    </w:lvl>
    <w:lvl w:ilvl="8">
      <w:start w:val="1"/>
      <w:numFmt w:val="decimal"/>
      <w:lvlText w:val="%1.%2.%3.%4.%5.%6.%7.%8.%9"/>
      <w:lvlJc w:val="left"/>
      <w:pPr>
        <w:ind w:left="7200" w:hanging="1080"/>
      </w:pPr>
      <w:rPr>
        <w:rFonts w:hint="default"/>
        <w:color w:val="156082" w:themeColor="accent1"/>
      </w:rPr>
    </w:lvl>
  </w:abstractNum>
  <w:num w:numId="1" w16cid:durableId="482964742">
    <w:abstractNumId w:val="1"/>
  </w:num>
  <w:num w:numId="2" w16cid:durableId="1079332437">
    <w:abstractNumId w:val="0"/>
  </w:num>
  <w:num w:numId="3" w16cid:durableId="2067802189">
    <w:abstractNumId w:val="4"/>
  </w:num>
  <w:num w:numId="4" w16cid:durableId="1673951075">
    <w:abstractNumId w:val="5"/>
  </w:num>
  <w:num w:numId="5" w16cid:durableId="1220362299">
    <w:abstractNumId w:val="3"/>
  </w:num>
  <w:num w:numId="6" w16cid:durableId="10820273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isplayBackgroundShap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E45"/>
    <w:rsid w:val="000034A5"/>
    <w:rsid w:val="00013F6B"/>
    <w:rsid w:val="001055A1"/>
    <w:rsid w:val="00184988"/>
    <w:rsid w:val="00193CDE"/>
    <w:rsid w:val="001E19FB"/>
    <w:rsid w:val="001F323A"/>
    <w:rsid w:val="002A7101"/>
    <w:rsid w:val="002F0ED4"/>
    <w:rsid w:val="003508BE"/>
    <w:rsid w:val="003E72CF"/>
    <w:rsid w:val="00405A75"/>
    <w:rsid w:val="00472C14"/>
    <w:rsid w:val="004E7D9D"/>
    <w:rsid w:val="00541A0D"/>
    <w:rsid w:val="00541ED1"/>
    <w:rsid w:val="00616558"/>
    <w:rsid w:val="006A5161"/>
    <w:rsid w:val="006D56AC"/>
    <w:rsid w:val="006F0E45"/>
    <w:rsid w:val="00734FF6"/>
    <w:rsid w:val="007B0E43"/>
    <w:rsid w:val="00886173"/>
    <w:rsid w:val="008945FB"/>
    <w:rsid w:val="008B6C63"/>
    <w:rsid w:val="008C528F"/>
    <w:rsid w:val="009357BB"/>
    <w:rsid w:val="009648F2"/>
    <w:rsid w:val="009B7D6D"/>
    <w:rsid w:val="009F4010"/>
    <w:rsid w:val="00A1346F"/>
    <w:rsid w:val="00BD5B7D"/>
    <w:rsid w:val="00C51BF5"/>
    <w:rsid w:val="00CE3558"/>
    <w:rsid w:val="00D72FD1"/>
    <w:rsid w:val="00D95806"/>
    <w:rsid w:val="00E6696D"/>
    <w:rsid w:val="00E944F4"/>
    <w:rsid w:val="00EC24CE"/>
    <w:rsid w:val="00EE1005"/>
    <w:rsid w:val="00F554EA"/>
    <w:rsid w:val="00F649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0F4BE"/>
  <w15:chartTrackingRefBased/>
  <w15:docId w15:val="{901A1392-09DB-2941-B8A5-82BF71B1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0E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0E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F0E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0E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0E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0E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0E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0E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0E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0E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0E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0E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0E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0E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0E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0E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0E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0E45"/>
    <w:rPr>
      <w:rFonts w:eastAsiaTheme="majorEastAsia" w:cstheme="majorBidi"/>
      <w:color w:val="272727" w:themeColor="text1" w:themeTint="D8"/>
    </w:rPr>
  </w:style>
  <w:style w:type="paragraph" w:styleId="Title">
    <w:name w:val="Title"/>
    <w:basedOn w:val="Normal"/>
    <w:next w:val="Normal"/>
    <w:link w:val="TitleChar"/>
    <w:uiPriority w:val="10"/>
    <w:qFormat/>
    <w:rsid w:val="006F0E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0E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0E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0E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0E45"/>
    <w:pPr>
      <w:spacing w:before="160"/>
      <w:jc w:val="center"/>
    </w:pPr>
    <w:rPr>
      <w:i/>
      <w:iCs/>
      <w:color w:val="404040" w:themeColor="text1" w:themeTint="BF"/>
    </w:rPr>
  </w:style>
  <w:style w:type="character" w:customStyle="1" w:styleId="QuoteChar">
    <w:name w:val="Quote Char"/>
    <w:basedOn w:val="DefaultParagraphFont"/>
    <w:link w:val="Quote"/>
    <w:uiPriority w:val="29"/>
    <w:rsid w:val="006F0E45"/>
    <w:rPr>
      <w:i/>
      <w:iCs/>
      <w:color w:val="404040" w:themeColor="text1" w:themeTint="BF"/>
    </w:rPr>
  </w:style>
  <w:style w:type="paragraph" w:styleId="ListParagraph">
    <w:name w:val="List Paragraph"/>
    <w:basedOn w:val="Normal"/>
    <w:uiPriority w:val="34"/>
    <w:qFormat/>
    <w:rsid w:val="006F0E45"/>
    <w:pPr>
      <w:ind w:left="720"/>
      <w:contextualSpacing/>
    </w:pPr>
  </w:style>
  <w:style w:type="character" w:styleId="IntenseEmphasis">
    <w:name w:val="Intense Emphasis"/>
    <w:basedOn w:val="DefaultParagraphFont"/>
    <w:uiPriority w:val="21"/>
    <w:qFormat/>
    <w:rsid w:val="006F0E45"/>
    <w:rPr>
      <w:i/>
      <w:iCs/>
      <w:color w:val="0F4761" w:themeColor="accent1" w:themeShade="BF"/>
    </w:rPr>
  </w:style>
  <w:style w:type="paragraph" w:styleId="IntenseQuote">
    <w:name w:val="Intense Quote"/>
    <w:basedOn w:val="Normal"/>
    <w:next w:val="Normal"/>
    <w:link w:val="IntenseQuoteChar"/>
    <w:uiPriority w:val="30"/>
    <w:qFormat/>
    <w:rsid w:val="006F0E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0E45"/>
    <w:rPr>
      <w:i/>
      <w:iCs/>
      <w:color w:val="0F4761" w:themeColor="accent1" w:themeShade="BF"/>
    </w:rPr>
  </w:style>
  <w:style w:type="character" w:styleId="IntenseReference">
    <w:name w:val="Intense Reference"/>
    <w:basedOn w:val="DefaultParagraphFont"/>
    <w:uiPriority w:val="32"/>
    <w:qFormat/>
    <w:rsid w:val="006F0E45"/>
    <w:rPr>
      <w:b/>
      <w:bCs/>
      <w:smallCaps/>
      <w:color w:val="0F4761" w:themeColor="accent1" w:themeShade="BF"/>
      <w:spacing w:val="5"/>
    </w:rPr>
  </w:style>
  <w:style w:type="paragraph" w:styleId="NormalWeb">
    <w:name w:val="Normal (Web)"/>
    <w:basedOn w:val="Normal"/>
    <w:uiPriority w:val="99"/>
    <w:semiHidden/>
    <w:unhideWhenUsed/>
    <w:rsid w:val="006F0E4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BodyText">
    <w:name w:val="Body Text"/>
    <w:basedOn w:val="Normal"/>
    <w:link w:val="BodyTextChar"/>
    <w:uiPriority w:val="1"/>
    <w:qFormat/>
    <w:rsid w:val="006F0E45"/>
    <w:pPr>
      <w:widowControl w:val="0"/>
      <w:autoSpaceDE w:val="0"/>
      <w:autoSpaceDN w:val="0"/>
      <w:spacing w:after="0" w:line="240" w:lineRule="auto"/>
    </w:pPr>
    <w:rPr>
      <w:rFonts w:ascii="Trebuchet MS" w:eastAsia="Trebuchet MS" w:hAnsi="Trebuchet MS" w:cs="Trebuchet MS"/>
      <w:kern w:val="0"/>
      <w:sz w:val="13"/>
      <w:szCs w:val="13"/>
      <w:lang w:val="en-US"/>
      <w14:ligatures w14:val="none"/>
    </w:rPr>
  </w:style>
  <w:style w:type="character" w:customStyle="1" w:styleId="BodyTextChar">
    <w:name w:val="Body Text Char"/>
    <w:basedOn w:val="DefaultParagraphFont"/>
    <w:link w:val="BodyText"/>
    <w:uiPriority w:val="1"/>
    <w:rsid w:val="006F0E45"/>
    <w:rPr>
      <w:rFonts w:ascii="Trebuchet MS" w:eastAsia="Trebuchet MS" w:hAnsi="Trebuchet MS" w:cs="Trebuchet MS"/>
      <w:kern w:val="0"/>
      <w:sz w:val="13"/>
      <w:szCs w:val="13"/>
      <w:lang w:val="en-US"/>
      <w14:ligatures w14:val="none"/>
    </w:rPr>
  </w:style>
  <w:style w:type="character" w:styleId="Hyperlink">
    <w:name w:val="Hyperlink"/>
    <w:basedOn w:val="DefaultParagraphFont"/>
    <w:uiPriority w:val="99"/>
    <w:unhideWhenUsed/>
    <w:rsid w:val="00184988"/>
    <w:rPr>
      <w:color w:val="467886" w:themeColor="hyperlink"/>
      <w:u w:val="single"/>
    </w:rPr>
  </w:style>
  <w:style w:type="character" w:styleId="UnresolvedMention">
    <w:name w:val="Unresolved Mention"/>
    <w:basedOn w:val="DefaultParagraphFont"/>
    <w:uiPriority w:val="99"/>
    <w:semiHidden/>
    <w:unhideWhenUsed/>
    <w:rsid w:val="00184988"/>
    <w:rPr>
      <w:color w:val="605E5C"/>
      <w:shd w:val="clear" w:color="auto" w:fill="E1DFDD"/>
    </w:rPr>
  </w:style>
  <w:style w:type="paragraph" w:styleId="Header">
    <w:name w:val="header"/>
    <w:basedOn w:val="Normal"/>
    <w:link w:val="HeaderChar"/>
    <w:uiPriority w:val="99"/>
    <w:unhideWhenUsed/>
    <w:rsid w:val="009B7D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7D6D"/>
  </w:style>
  <w:style w:type="paragraph" w:styleId="Footer">
    <w:name w:val="footer"/>
    <w:basedOn w:val="Normal"/>
    <w:link w:val="FooterChar"/>
    <w:uiPriority w:val="99"/>
    <w:unhideWhenUsed/>
    <w:rsid w:val="009B7D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7D6D"/>
  </w:style>
  <w:style w:type="character" w:styleId="PageNumber">
    <w:name w:val="page number"/>
    <w:basedOn w:val="DefaultParagraphFont"/>
    <w:uiPriority w:val="99"/>
    <w:semiHidden/>
    <w:unhideWhenUsed/>
    <w:rsid w:val="009B7D6D"/>
  </w:style>
  <w:style w:type="paragraph" w:styleId="Revision">
    <w:name w:val="Revision"/>
    <w:hidden/>
    <w:uiPriority w:val="99"/>
    <w:semiHidden/>
    <w:rsid w:val="001055A1"/>
    <w:pPr>
      <w:spacing w:after="0" w:line="240" w:lineRule="auto"/>
    </w:pPr>
  </w:style>
  <w:style w:type="paragraph" w:customStyle="1" w:styleId="p1">
    <w:name w:val="p1"/>
    <w:basedOn w:val="Normal"/>
    <w:rsid w:val="008945FB"/>
    <w:pPr>
      <w:spacing w:after="0" w:line="240" w:lineRule="auto"/>
    </w:pPr>
    <w:rPr>
      <w:rFonts w:ascii="Helvetica" w:eastAsia="Times New Roman" w:hAnsi="Helvetica" w:cs="Times New Roman"/>
      <w:color w:val="111111"/>
      <w:kern w:val="0"/>
      <w:sz w:val="14"/>
      <w:szCs w:val="14"/>
      <w:lang w:eastAsia="en-GB"/>
      <w14:ligatures w14:val="none"/>
    </w:rPr>
  </w:style>
  <w:style w:type="paragraph" w:styleId="NoSpacing">
    <w:name w:val="No Spacing"/>
    <w:uiPriority w:val="1"/>
    <w:qFormat/>
    <w:rsid w:val="00D72FD1"/>
    <w:pPr>
      <w:spacing w:after="0" w:line="240" w:lineRule="auto"/>
    </w:pPr>
    <w:rPr>
      <w:rFonts w:eastAsiaTheme="minorEastAsia"/>
      <w:kern w:val="0"/>
      <w:sz w:val="22"/>
      <w:szCs w:val="22"/>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nfo@flagstonespg.co.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6DB246-42E5-A447-A4C9-2ABC16CB4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1919</Words>
  <Characters>10942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Flagstones Property Group Lettings</dc:creator>
  <cp:keywords/>
  <dc:description/>
  <cp:lastModifiedBy>Flagstones Property Group Lettings</cp:lastModifiedBy>
  <cp:revision>9</cp:revision>
  <cp:lastPrinted>2026-01-15T13:25:00Z</cp:lastPrinted>
  <dcterms:created xsi:type="dcterms:W3CDTF">2026-01-15T14:29:00Z</dcterms:created>
  <dcterms:modified xsi:type="dcterms:W3CDTF">2026-01-15T15:28:00Z</dcterms:modified>
</cp:coreProperties>
</file>