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EBD10" w14:textId="79F32506" w:rsidR="008C528F" w:rsidRPr="008C528F" w:rsidRDefault="008C528F" w:rsidP="008C528F">
      <w:pPr>
        <w:rPr>
          <w:sz w:val="28"/>
          <w:szCs w:val="28"/>
        </w:rPr>
      </w:pPr>
      <w:r w:rsidRPr="008C528F">
        <w:rPr>
          <w:rFonts w:ascii="Century Gothic" w:hAnsi="Century Gothic"/>
          <w:noProof/>
          <w:color w:val="002060"/>
          <w:sz w:val="44"/>
          <w:szCs w:val="44"/>
        </w:rPr>
        <w:drawing>
          <wp:anchor distT="0" distB="0" distL="114300" distR="114300" simplePos="0" relativeHeight="251670528" behindDoc="0" locked="0" layoutInCell="1" allowOverlap="1" wp14:anchorId="4179FE07" wp14:editId="0066AA55">
            <wp:simplePos x="0" y="0"/>
            <wp:positionH relativeFrom="column">
              <wp:posOffset>4207120</wp:posOffset>
            </wp:positionH>
            <wp:positionV relativeFrom="paragraph">
              <wp:posOffset>488</wp:posOffset>
            </wp:positionV>
            <wp:extent cx="1752600" cy="902970"/>
            <wp:effectExtent l="0" t="0" r="0" b="0"/>
            <wp:wrapThrough wrapText="bothSides">
              <wp:wrapPolygon edited="0">
                <wp:start x="0" y="0"/>
                <wp:lineTo x="0" y="21266"/>
                <wp:lineTo x="21443" y="21266"/>
                <wp:lineTo x="21443" y="0"/>
                <wp:lineTo x="0" y="0"/>
              </wp:wrapPolygon>
            </wp:wrapThrough>
            <wp:docPr id="654355415"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Pr="008C528F">
        <w:rPr>
          <w:rFonts w:ascii="Century Gothic" w:hAnsi="Century Gothic"/>
          <w:color w:val="002060"/>
          <w:sz w:val="40"/>
          <w:szCs w:val="40"/>
        </w:rPr>
        <w:t xml:space="preserve">Sales Terms and Conditions of </w:t>
      </w:r>
    </w:p>
    <w:p w14:paraId="67E7C4E9" w14:textId="77777777" w:rsidR="008C528F" w:rsidRPr="008C528F" w:rsidRDefault="008C528F" w:rsidP="008C528F">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440E54C1" w14:textId="77777777" w:rsidR="008945FB" w:rsidRPr="001F323A" w:rsidRDefault="008945FB" w:rsidP="00184988">
      <w:pPr>
        <w:rPr>
          <w:rFonts w:ascii="Century Gothic" w:hAnsi="Century Gothic"/>
          <w:color w:val="002060"/>
          <w:sz w:val="20"/>
          <w:szCs w:val="20"/>
        </w:rPr>
      </w:pPr>
    </w:p>
    <w:p w14:paraId="6E9D2474" w14:textId="53F4453B" w:rsidR="009B7D6D" w:rsidRPr="008945FB" w:rsidRDefault="009B7D6D" w:rsidP="00A1346F">
      <w:pPr>
        <w:ind w:firstLine="720"/>
        <w:rPr>
          <w:rFonts w:ascii="Century Gothic" w:hAnsi="Century Gothic"/>
          <w:color w:val="002060"/>
          <w:sz w:val="20"/>
          <w:szCs w:val="20"/>
        </w:rPr>
      </w:pPr>
      <w:r w:rsidRPr="008945FB">
        <w:rPr>
          <w:rFonts w:ascii="Century Gothic" w:hAnsi="Century Gothic"/>
          <w:color w:val="002060"/>
          <w:sz w:val="20"/>
          <w:szCs w:val="20"/>
        </w:rPr>
        <w:t>Client</w:t>
      </w:r>
      <w:r w:rsidR="002A7101">
        <w:rPr>
          <w:rFonts w:ascii="Century Gothic" w:hAnsi="Century Gothic"/>
          <w:color w:val="002060"/>
          <w:sz w:val="20"/>
          <w:szCs w:val="20"/>
        </w:rPr>
        <w:t>(s) Name</w:t>
      </w:r>
      <w:r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1F323A">
        <w:rPr>
          <w:rFonts w:ascii="Century Gothic" w:hAnsi="Century Gothic"/>
          <w:color w:val="002060"/>
          <w:sz w:val="20"/>
          <w:szCs w:val="20"/>
        </w:rPr>
        <w:fldChar w:fldCharType="begin">
          <w:ffData>
            <w:name w:val="Text2"/>
            <w:enabled/>
            <w:calcOnExit w:val="0"/>
            <w:textInput/>
          </w:ffData>
        </w:fldChar>
      </w:r>
      <w:bookmarkStart w:id="0" w:name="Text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0"/>
      <w:r w:rsidR="002A7101">
        <w:rPr>
          <w:rFonts w:ascii="Century Gothic" w:hAnsi="Century Gothic"/>
          <w:color w:val="002060"/>
          <w:sz w:val="20"/>
          <w:szCs w:val="20"/>
        </w:rPr>
        <w:tab/>
      </w:r>
      <w:r w:rsidR="002A7101">
        <w:rPr>
          <w:rFonts w:ascii="Century Gothic" w:hAnsi="Century Gothic"/>
          <w:color w:val="002060"/>
          <w:sz w:val="20"/>
          <w:szCs w:val="20"/>
        </w:rPr>
        <w:tab/>
      </w:r>
    </w:p>
    <w:p w14:paraId="547ECAFC" w14:textId="60971992" w:rsidR="008945FB" w:rsidRPr="001F323A" w:rsidRDefault="008945FB" w:rsidP="008945FB">
      <w:pPr>
        <w:pStyle w:val="p1"/>
        <w:rPr>
          <w:rFonts w:ascii="Century Gothic" w:hAnsi="Century Gothic"/>
          <w:sz w:val="13"/>
          <w:szCs w:val="13"/>
        </w:rPr>
      </w:pPr>
      <w:r w:rsidRPr="002A7101">
        <w:rPr>
          <w:rFonts w:ascii="Century Gothic" w:hAnsi="Century Gothic"/>
          <w:sz w:val="13"/>
          <w:szCs w:val="13"/>
        </w:rPr>
        <w:t xml:space="preserve">(If the property is jointly </w:t>
      </w:r>
      <w:r w:rsidR="001F323A" w:rsidRPr="002A7101">
        <w:rPr>
          <w:rFonts w:ascii="Century Gothic" w:hAnsi="Century Gothic"/>
          <w:sz w:val="13"/>
          <w:szCs w:val="13"/>
        </w:rPr>
        <w:t>owned,</w:t>
      </w:r>
      <w:r w:rsidRPr="002A7101">
        <w:rPr>
          <w:rFonts w:ascii="Century Gothic" w:hAnsi="Century Gothic"/>
          <w:sz w:val="13"/>
          <w:szCs w:val="13"/>
        </w:rPr>
        <w:t xml:space="preserve"> please state the names of all owners. If the property is corporately owned the full name of the company, the company registration number and the registered office address must appear on this form, which must be signed by an authorised signatory.)</w:t>
      </w:r>
    </w:p>
    <w:p w14:paraId="6AB625F5" w14:textId="77777777" w:rsidR="008945FB" w:rsidRDefault="008945FB" w:rsidP="00184988">
      <w:pPr>
        <w:rPr>
          <w:rFonts w:ascii="Century Gothic" w:hAnsi="Century Gothic"/>
          <w:color w:val="002060"/>
          <w:sz w:val="20"/>
          <w:szCs w:val="20"/>
        </w:rPr>
      </w:pPr>
    </w:p>
    <w:p w14:paraId="13256EF0" w14:textId="5D10BFF3" w:rsidR="009B7D6D" w:rsidRPr="00CE3558" w:rsidRDefault="009B7D6D" w:rsidP="00A1346F">
      <w:pPr>
        <w:ind w:firstLine="720"/>
        <w:rPr>
          <w:rFonts w:ascii="Century Gothic" w:hAnsi="Century Gothic"/>
          <w:color w:val="002060"/>
          <w:sz w:val="20"/>
          <w:szCs w:val="20"/>
        </w:rPr>
      </w:pPr>
      <w:r w:rsidRPr="00CE3558">
        <w:rPr>
          <w:rFonts w:ascii="Century Gothic" w:hAnsi="Century Gothic"/>
          <w:color w:val="002060"/>
          <w:sz w:val="20"/>
          <w:szCs w:val="20"/>
        </w:rPr>
        <w:t xml:space="preserve">Property Address: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bookmarkStart w:id="1" w:name="Text3"/>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1"/>
    </w:p>
    <w:p w14:paraId="43968508" w14:textId="1D8C8503" w:rsidR="009B7D6D" w:rsidRPr="00CE3558" w:rsidRDefault="00886173"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bookmarkStart w:id="2" w:name="Text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2"/>
    </w:p>
    <w:p w14:paraId="282F737C" w14:textId="77777777" w:rsidR="009B7D6D" w:rsidRPr="00CE3558" w:rsidRDefault="009B7D6D" w:rsidP="00184988">
      <w:pPr>
        <w:rPr>
          <w:rFonts w:ascii="Century Gothic" w:hAnsi="Century Gothic"/>
          <w:color w:val="002060"/>
          <w:sz w:val="20"/>
          <w:szCs w:val="20"/>
        </w:rPr>
      </w:pPr>
    </w:p>
    <w:p w14:paraId="0634D474" w14:textId="3816F3A2" w:rsidR="008945FB" w:rsidRPr="00CE3558" w:rsidRDefault="00D72FD1" w:rsidP="008945FB">
      <w:pPr>
        <w:rPr>
          <w:rFonts w:ascii="Century Gothic" w:hAnsi="Century Gothic"/>
          <w:color w:val="002060"/>
          <w:sz w:val="20"/>
          <w:szCs w:val="20"/>
        </w:rPr>
      </w:pPr>
      <w:r>
        <w:rPr>
          <w:rFonts w:ascii="Century Gothic" w:hAnsi="Century Gothic"/>
          <w:color w:val="002060"/>
          <w:sz w:val="20"/>
          <w:szCs w:val="20"/>
        </w:rPr>
        <w:t>Co</w:t>
      </w:r>
      <w:r w:rsidR="002A7101">
        <w:rPr>
          <w:rFonts w:ascii="Century Gothic" w:hAnsi="Century Gothic"/>
          <w:color w:val="002060"/>
          <w:sz w:val="20"/>
          <w:szCs w:val="20"/>
        </w:rPr>
        <w:t>rrespondence</w:t>
      </w:r>
      <w:r w:rsidR="009B7D6D" w:rsidRPr="00CE3558">
        <w:rPr>
          <w:rFonts w:ascii="Century Gothic" w:hAnsi="Century Gothic"/>
          <w:color w:val="002060"/>
          <w:sz w:val="20"/>
          <w:szCs w:val="20"/>
        </w:rPr>
        <w:t xml:space="preserve"> Address:</w:t>
      </w:r>
      <w:r w:rsidR="008945FB"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p>
    <w:p w14:paraId="36C22486" w14:textId="347640BF" w:rsidR="009B7D6D" w:rsidRDefault="008945FB"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p>
    <w:p w14:paraId="5D716C0B" w14:textId="14F60B51" w:rsidR="001F323A" w:rsidRPr="00CE3558" w:rsidRDefault="002A7101" w:rsidP="001F323A">
      <w:pPr>
        <w:ind w:left="1440" w:firstLine="720"/>
        <w:rPr>
          <w:rFonts w:ascii="Century Gothic" w:hAnsi="Century Gothic"/>
          <w:color w:val="002060"/>
          <w:sz w:val="20"/>
          <w:szCs w:val="20"/>
        </w:rPr>
      </w:pPr>
      <w:r>
        <w:rPr>
          <w:rFonts w:ascii="Century Gothic" w:hAnsi="Century Gothic"/>
          <w:color w:val="002060"/>
          <w:sz w:val="20"/>
          <w:szCs w:val="20"/>
        </w:rPr>
        <w:tab/>
      </w:r>
    </w:p>
    <w:p w14:paraId="06AA2E4C" w14:textId="66A0AD1C" w:rsidR="009B7D6D" w:rsidRPr="00CE3558" w:rsidRDefault="009B7D6D" w:rsidP="00A1346F">
      <w:pPr>
        <w:ind w:left="720" w:firstLine="720"/>
        <w:rPr>
          <w:rFonts w:ascii="Century Gothic" w:hAnsi="Century Gothic"/>
          <w:color w:val="002060"/>
          <w:sz w:val="20"/>
          <w:szCs w:val="20"/>
        </w:rPr>
      </w:pPr>
      <w:r w:rsidRPr="00CE3558">
        <w:rPr>
          <w:rFonts w:ascii="Century Gothic" w:hAnsi="Century Gothic"/>
          <w:color w:val="002060"/>
          <w:sz w:val="20"/>
          <w:szCs w:val="20"/>
        </w:rPr>
        <w:t>Mobile:</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5"/>
            <w:enabled/>
            <w:calcOnExit w:val="0"/>
            <w:textInput>
              <w:type w:val="number"/>
            </w:textInput>
          </w:ffData>
        </w:fldChar>
      </w:r>
      <w:bookmarkStart w:id="3" w:name="Text5"/>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3"/>
    </w:p>
    <w:p w14:paraId="789C6DA7" w14:textId="318D622C" w:rsidR="009B7D6D" w:rsidRDefault="009B7D6D" w:rsidP="003508BE">
      <w:pPr>
        <w:ind w:left="720" w:firstLine="720"/>
        <w:rPr>
          <w:rFonts w:ascii="Century Gothic" w:hAnsi="Century Gothic"/>
          <w:color w:val="002060"/>
          <w:sz w:val="20"/>
          <w:szCs w:val="20"/>
        </w:rPr>
      </w:pPr>
      <w:r w:rsidRPr="00CE3558">
        <w:rPr>
          <w:rFonts w:ascii="Century Gothic" w:hAnsi="Century Gothic"/>
          <w:color w:val="002060"/>
          <w:sz w:val="20"/>
          <w:szCs w:val="20"/>
        </w:rPr>
        <w:t>Email:</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6"/>
            <w:enabled/>
            <w:calcOnExit w:val="0"/>
            <w:textInput/>
          </w:ffData>
        </w:fldChar>
      </w:r>
      <w:bookmarkStart w:id="4" w:name="Text6"/>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4"/>
    </w:p>
    <w:p w14:paraId="37D21831" w14:textId="77777777" w:rsidR="003508BE" w:rsidRPr="00CE3558" w:rsidRDefault="003508BE" w:rsidP="003508BE">
      <w:pPr>
        <w:ind w:left="720" w:firstLine="720"/>
        <w:rPr>
          <w:rFonts w:ascii="Century Gothic" w:hAnsi="Century Gothic"/>
          <w:color w:val="002060"/>
          <w:sz w:val="20"/>
          <w:szCs w:val="20"/>
        </w:rPr>
      </w:pPr>
    </w:p>
    <w:p w14:paraId="44379851" w14:textId="1BFEB37A"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Agency Type</w:t>
      </w:r>
      <w:r w:rsidR="008945FB">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sidRPr="00D72FD1">
        <w:rPr>
          <w:rFonts w:ascii="Century Gothic" w:hAnsi="Century Gothic"/>
          <w:b/>
          <w:bCs/>
          <w:color w:val="002060"/>
          <w:sz w:val="20"/>
          <w:szCs w:val="20"/>
        </w:rPr>
        <w:t>Agreed Fee:</w:t>
      </w:r>
      <w:r w:rsidR="00D72FD1">
        <w:rPr>
          <w:rFonts w:ascii="Century Gothic" w:hAnsi="Century Gothic"/>
          <w:color w:val="002060"/>
          <w:sz w:val="20"/>
          <w:szCs w:val="20"/>
        </w:rPr>
        <w:t xml:space="preserve"> </w:t>
      </w:r>
      <w:r w:rsidR="00D72FD1">
        <w:rPr>
          <w:rFonts w:ascii="Century Gothic" w:hAnsi="Century Gothic"/>
          <w:color w:val="002060"/>
          <w:sz w:val="20"/>
          <w:szCs w:val="20"/>
        </w:rPr>
        <w:fldChar w:fldCharType="begin">
          <w:ffData>
            <w:name w:val="Text13"/>
            <w:enabled/>
            <w:calcOnExit w:val="0"/>
            <w:textInput/>
          </w:ffData>
        </w:fldChar>
      </w:r>
      <w:bookmarkStart w:id="5" w:name="Text13"/>
      <w:r w:rsidR="00D72FD1">
        <w:rPr>
          <w:rFonts w:ascii="Century Gothic" w:hAnsi="Century Gothic"/>
          <w:color w:val="002060"/>
          <w:sz w:val="20"/>
          <w:szCs w:val="20"/>
        </w:rPr>
        <w:instrText xml:space="preserve"> FORMTEXT </w:instrText>
      </w:r>
      <w:r w:rsidR="00D72FD1">
        <w:rPr>
          <w:rFonts w:ascii="Century Gothic" w:hAnsi="Century Gothic"/>
          <w:color w:val="002060"/>
          <w:sz w:val="20"/>
          <w:szCs w:val="20"/>
        </w:rPr>
      </w:r>
      <w:r w:rsidR="00D72FD1">
        <w:rPr>
          <w:rFonts w:ascii="Century Gothic" w:hAnsi="Century Gothic"/>
          <w:color w:val="002060"/>
          <w:sz w:val="20"/>
          <w:szCs w:val="20"/>
        </w:rPr>
        <w:fldChar w:fldCharType="separate"/>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color w:val="002060"/>
          <w:sz w:val="20"/>
          <w:szCs w:val="20"/>
        </w:rPr>
        <w:fldChar w:fldCharType="end"/>
      </w:r>
      <w:bookmarkEnd w:id="5"/>
    </w:p>
    <w:p w14:paraId="477D0A71" w14:textId="517D7D32" w:rsidR="00F554EA" w:rsidRPr="00CE3558" w:rsidRDefault="00D72FD1" w:rsidP="00F554EA">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1"/>
            <w:enabled/>
            <w:calcOnExit w:val="0"/>
            <w:checkBox>
              <w:sizeAuto/>
              <w:default w:val="0"/>
            </w:checkBox>
          </w:ffData>
        </w:fldChar>
      </w:r>
      <w:bookmarkStart w:id="6" w:name="Check1"/>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6"/>
      <w:r w:rsidR="00F554EA">
        <w:rPr>
          <w:rFonts w:ascii="Century Gothic" w:hAnsi="Century Gothic"/>
          <w:color w:val="002060"/>
          <w:sz w:val="20"/>
          <w:szCs w:val="20"/>
        </w:rPr>
        <w:tab/>
      </w:r>
      <w:r w:rsidR="009B7D6D" w:rsidRPr="00CE3558">
        <w:rPr>
          <w:rFonts w:ascii="Century Gothic" w:hAnsi="Century Gothic"/>
          <w:color w:val="002060"/>
          <w:sz w:val="20"/>
          <w:szCs w:val="20"/>
        </w:rPr>
        <w:t>Sole Selling Rights Agency</w:t>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2"/>
            <w:enabled/>
            <w:calcOnExit w:val="0"/>
            <w:checkBox>
              <w:sizeAuto/>
              <w:default w:val="0"/>
            </w:checkBox>
          </w:ffData>
        </w:fldChar>
      </w:r>
      <w:bookmarkStart w:id="7" w:name="Check2"/>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7"/>
      <w:r w:rsidR="00F554EA">
        <w:rPr>
          <w:rFonts w:ascii="Century Gothic" w:hAnsi="Century Gothic"/>
          <w:color w:val="002060"/>
          <w:sz w:val="20"/>
          <w:szCs w:val="20"/>
        </w:rPr>
        <w:tab/>
      </w:r>
      <w:r w:rsidR="00F554EA" w:rsidRPr="00CE3558">
        <w:rPr>
          <w:rFonts w:ascii="Century Gothic" w:hAnsi="Century Gothic"/>
          <w:color w:val="002060"/>
          <w:sz w:val="20"/>
          <w:szCs w:val="20"/>
        </w:rPr>
        <w:t>Multiple Agency</w:t>
      </w:r>
    </w:p>
    <w:p w14:paraId="3BEB49CF" w14:textId="4C7B7126" w:rsidR="00F554EA" w:rsidRPr="00F554EA" w:rsidRDefault="00F554EA" w:rsidP="00F554EA">
      <w:pPr>
        <w:spacing w:after="0" w:line="240" w:lineRule="auto"/>
        <w:rPr>
          <w:rFonts w:ascii="Century Gothic" w:eastAsia="Times New Roman" w:hAnsi="Century Gothic" w:cs="Times New Roman"/>
          <w:color w:val="002060"/>
          <w:kern w:val="0"/>
          <w:sz w:val="13"/>
          <w:szCs w:val="13"/>
          <w:lang w:eastAsia="en-GB"/>
          <w14:ligatures w14:val="none"/>
        </w:rPr>
      </w:pPr>
      <w:r w:rsidRPr="00F554EA">
        <w:rPr>
          <w:rFonts w:ascii="Century Gothic" w:eastAsia="Times New Roman" w:hAnsi="Century Gothic" w:cs="Times New Roman"/>
          <w:color w:val="002060"/>
          <w:kern w:val="0"/>
          <w:sz w:val="13"/>
          <w:szCs w:val="13"/>
          <w:lang w:eastAsia="en-GB"/>
          <w14:ligatures w14:val="none"/>
        </w:rPr>
        <w:t>Please note these fees are subject to our minimum fee. Please see the fees payable clause on page 2 of these terms.</w:t>
      </w:r>
    </w:p>
    <w:p w14:paraId="09E2F132" w14:textId="77777777" w:rsidR="001F323A" w:rsidRDefault="001F323A" w:rsidP="00184988">
      <w:pPr>
        <w:rPr>
          <w:rFonts w:ascii="Century Gothic" w:hAnsi="Century Gothic"/>
          <w:color w:val="002060"/>
          <w:sz w:val="20"/>
          <w:szCs w:val="20"/>
        </w:rPr>
      </w:pPr>
    </w:p>
    <w:p w14:paraId="49083568" w14:textId="33BF09B4" w:rsidR="00F554EA" w:rsidRPr="001F323A" w:rsidRDefault="009B7D6D" w:rsidP="00184988">
      <w:pPr>
        <w:rPr>
          <w:rFonts w:ascii="Century Gothic" w:hAnsi="Century Gothic"/>
          <w:color w:val="002060"/>
          <w:sz w:val="20"/>
          <w:szCs w:val="20"/>
        </w:rPr>
      </w:pPr>
      <w:r w:rsidRPr="001F323A">
        <w:rPr>
          <w:rFonts w:ascii="Century Gothic" w:hAnsi="Century Gothic"/>
          <w:color w:val="002060"/>
          <w:sz w:val="20"/>
          <w:szCs w:val="20"/>
        </w:rPr>
        <w:t>Tenure</w:t>
      </w:r>
    </w:p>
    <w:p w14:paraId="7B056C07" w14:textId="158839B7" w:rsidR="009B7D6D" w:rsidRDefault="001F323A" w:rsidP="003508BE">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3"/>
            <w:enabled/>
            <w:calcOnExit w:val="0"/>
            <w:checkBox>
              <w:sizeAuto/>
              <w:default w:val="0"/>
            </w:checkBox>
          </w:ffData>
        </w:fldChar>
      </w:r>
      <w:bookmarkStart w:id="8" w:name="Check3"/>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8"/>
      <w:r w:rsidR="00F554EA">
        <w:rPr>
          <w:rFonts w:ascii="Century Gothic" w:hAnsi="Century Gothic"/>
          <w:color w:val="002060"/>
          <w:sz w:val="20"/>
          <w:szCs w:val="20"/>
        </w:rPr>
        <w:t xml:space="preserve">      </w:t>
      </w:r>
      <w:r w:rsidR="009B7D6D" w:rsidRPr="00CE3558">
        <w:rPr>
          <w:rFonts w:ascii="Century Gothic" w:hAnsi="Century Gothic"/>
          <w:color w:val="002060"/>
          <w:sz w:val="20"/>
          <w:szCs w:val="20"/>
        </w:rPr>
        <w:t xml:space="preserve">Freehold </w:t>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4"/>
            <w:enabled/>
            <w:calcOnExit w:val="0"/>
            <w:checkBox>
              <w:sizeAuto/>
              <w:default w:val="0"/>
            </w:checkBox>
          </w:ffData>
        </w:fldChar>
      </w:r>
      <w:bookmarkStart w:id="9" w:name="Check4"/>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9"/>
      <w:r w:rsidR="00F554EA">
        <w:rPr>
          <w:rFonts w:ascii="Century Gothic" w:hAnsi="Century Gothic"/>
          <w:color w:val="002060"/>
          <w:sz w:val="20"/>
          <w:szCs w:val="20"/>
        </w:rPr>
        <w:t xml:space="preserve">      </w:t>
      </w:r>
      <w:r w:rsidR="009B7D6D" w:rsidRPr="00CE3558">
        <w:rPr>
          <w:rFonts w:ascii="Century Gothic" w:hAnsi="Century Gothic"/>
          <w:color w:val="002060"/>
          <w:sz w:val="20"/>
          <w:szCs w:val="20"/>
        </w:rPr>
        <w:t>Leasehold</w:t>
      </w:r>
      <w:r w:rsidR="009B7D6D" w:rsidRPr="00CE3558">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5"/>
            <w:enabled/>
            <w:calcOnExit w:val="0"/>
            <w:checkBox>
              <w:sizeAuto/>
              <w:default w:val="0"/>
            </w:checkBox>
          </w:ffData>
        </w:fldChar>
      </w:r>
      <w:bookmarkStart w:id="10" w:name="Check5"/>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10"/>
      <w:r w:rsidR="00F554EA">
        <w:rPr>
          <w:rFonts w:ascii="Century Gothic" w:hAnsi="Century Gothic"/>
          <w:color w:val="002060"/>
          <w:sz w:val="20"/>
          <w:szCs w:val="20"/>
        </w:rPr>
        <w:t xml:space="preserve">      </w:t>
      </w:r>
      <w:proofErr w:type="spellStart"/>
      <w:r w:rsidR="009B7D6D" w:rsidRPr="00CE3558">
        <w:rPr>
          <w:rFonts w:ascii="Century Gothic" w:hAnsi="Century Gothic"/>
          <w:color w:val="002060"/>
          <w:sz w:val="20"/>
          <w:szCs w:val="20"/>
        </w:rPr>
        <w:t>Leasehold</w:t>
      </w:r>
      <w:proofErr w:type="spellEnd"/>
      <w:r w:rsidR="009B7D6D" w:rsidRPr="00CE3558">
        <w:rPr>
          <w:rFonts w:ascii="Century Gothic" w:hAnsi="Century Gothic"/>
          <w:color w:val="002060"/>
          <w:sz w:val="20"/>
          <w:szCs w:val="20"/>
        </w:rPr>
        <w:t xml:space="preserve"> plus share of freehold</w:t>
      </w:r>
    </w:p>
    <w:p w14:paraId="717F091C" w14:textId="77777777" w:rsidR="003508BE" w:rsidRPr="00CE3558" w:rsidRDefault="003508BE" w:rsidP="003508BE">
      <w:pPr>
        <w:ind w:firstLine="720"/>
        <w:rPr>
          <w:rFonts w:ascii="Century Gothic" w:hAnsi="Century Gothic"/>
          <w:color w:val="002060"/>
          <w:sz w:val="20"/>
          <w:szCs w:val="20"/>
        </w:rPr>
      </w:pPr>
    </w:p>
    <w:p w14:paraId="6BA2A143" w14:textId="60D9ABAB"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 xml:space="preserve">Leasehold expiry date: </w:t>
      </w:r>
      <w:r w:rsidR="001F323A">
        <w:rPr>
          <w:rFonts w:ascii="Century Gothic" w:hAnsi="Century Gothic"/>
          <w:color w:val="002060"/>
          <w:sz w:val="20"/>
          <w:szCs w:val="20"/>
        </w:rPr>
        <w:fldChar w:fldCharType="begin">
          <w:ffData>
            <w:name w:val="Text7"/>
            <w:enabled/>
            <w:calcOnExit w:val="0"/>
            <w:textInput/>
          </w:ffData>
        </w:fldChar>
      </w:r>
      <w:bookmarkStart w:id="11" w:name="Text7"/>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1"/>
    </w:p>
    <w:p w14:paraId="5E7CB4E1" w14:textId="42DA8384" w:rsidR="009B7D6D" w:rsidRPr="00CE3558" w:rsidRDefault="00A1346F" w:rsidP="00A1346F">
      <w:pPr>
        <w:rPr>
          <w:rFonts w:ascii="Century Gothic" w:hAnsi="Century Gothic"/>
          <w:color w:val="002060"/>
          <w:sz w:val="20"/>
          <w:szCs w:val="20"/>
        </w:rPr>
      </w:pPr>
      <w:r>
        <w:rPr>
          <w:rFonts w:ascii="Century Gothic" w:hAnsi="Century Gothic"/>
          <w:color w:val="002060"/>
          <w:sz w:val="20"/>
          <w:szCs w:val="20"/>
        </w:rPr>
        <w:t xml:space="preserve">            </w:t>
      </w:r>
      <w:r w:rsidR="009B7D6D" w:rsidRPr="00CE3558">
        <w:rPr>
          <w:rFonts w:ascii="Century Gothic" w:hAnsi="Century Gothic"/>
          <w:color w:val="002060"/>
          <w:sz w:val="20"/>
          <w:szCs w:val="20"/>
        </w:rPr>
        <w:t xml:space="preserve">Service charge: </w:t>
      </w:r>
      <w:r w:rsidR="001F323A">
        <w:rPr>
          <w:rFonts w:ascii="Century Gothic" w:hAnsi="Century Gothic"/>
          <w:color w:val="002060"/>
          <w:sz w:val="20"/>
          <w:szCs w:val="20"/>
        </w:rPr>
        <w:fldChar w:fldCharType="begin">
          <w:ffData>
            <w:name w:val="Text8"/>
            <w:enabled/>
            <w:calcOnExit w:val="0"/>
            <w:textInput/>
          </w:ffData>
        </w:fldChar>
      </w:r>
      <w:bookmarkStart w:id="12" w:name="Text8"/>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2"/>
      <w:r>
        <w:rPr>
          <w:rFonts w:ascii="Century Gothic" w:hAnsi="Century Gothic"/>
          <w:color w:val="002060"/>
          <w:sz w:val="20"/>
          <w:szCs w:val="20"/>
        </w:rPr>
        <w:tab/>
      </w:r>
      <w:r>
        <w:rPr>
          <w:rFonts w:ascii="Century Gothic" w:hAnsi="Century Gothic"/>
          <w:color w:val="002060"/>
          <w:sz w:val="20"/>
          <w:szCs w:val="20"/>
        </w:rPr>
        <w:tab/>
      </w:r>
      <w:r w:rsidR="001F323A">
        <w:rPr>
          <w:rFonts w:ascii="Century Gothic" w:hAnsi="Century Gothic"/>
          <w:color w:val="002060"/>
          <w:sz w:val="20"/>
          <w:szCs w:val="20"/>
        </w:rPr>
        <w:t xml:space="preserve">Ground Rent: </w:t>
      </w:r>
      <w:r w:rsidR="001F323A">
        <w:rPr>
          <w:rFonts w:ascii="Century Gothic" w:hAnsi="Century Gothic"/>
          <w:color w:val="002060"/>
          <w:sz w:val="20"/>
          <w:szCs w:val="20"/>
        </w:rPr>
        <w:fldChar w:fldCharType="begin">
          <w:ffData>
            <w:name w:val="Text9"/>
            <w:enabled/>
            <w:calcOnExit w:val="0"/>
            <w:textInput/>
          </w:ffData>
        </w:fldChar>
      </w:r>
      <w:bookmarkStart w:id="13" w:name="Text9"/>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3"/>
      <w:r>
        <w:rPr>
          <w:rFonts w:ascii="Century Gothic" w:hAnsi="Century Gothic"/>
          <w:color w:val="002060"/>
          <w:sz w:val="20"/>
          <w:szCs w:val="20"/>
        </w:rPr>
        <w:tab/>
      </w:r>
      <w:r>
        <w:rPr>
          <w:rFonts w:ascii="Century Gothic" w:hAnsi="Century Gothic"/>
          <w:color w:val="002060"/>
          <w:sz w:val="20"/>
          <w:szCs w:val="20"/>
        </w:rPr>
        <w:tab/>
        <w:t xml:space="preserve">Remaining Years on Lease: </w:t>
      </w:r>
      <w:r>
        <w:rPr>
          <w:rFonts w:ascii="Century Gothic" w:hAnsi="Century Gothic"/>
          <w:color w:val="002060"/>
          <w:sz w:val="20"/>
          <w:szCs w:val="20"/>
        </w:rPr>
        <w:fldChar w:fldCharType="begin">
          <w:ffData>
            <w:name w:val="Text14"/>
            <w:enabled/>
            <w:calcOnExit w:val="0"/>
            <w:textInput/>
          </w:ffData>
        </w:fldChar>
      </w:r>
      <w:bookmarkStart w:id="14" w:name="Text1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14"/>
    </w:p>
    <w:p w14:paraId="70EE059C" w14:textId="1F0524DF"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 xml:space="preserve">Other: </w:t>
      </w:r>
      <w:r w:rsidR="001F323A">
        <w:rPr>
          <w:rFonts w:ascii="Century Gothic" w:hAnsi="Century Gothic"/>
          <w:color w:val="002060"/>
          <w:sz w:val="20"/>
          <w:szCs w:val="20"/>
        </w:rPr>
        <w:fldChar w:fldCharType="begin">
          <w:ffData>
            <w:name w:val="Text11"/>
            <w:enabled/>
            <w:calcOnExit w:val="0"/>
            <w:textInput/>
          </w:ffData>
        </w:fldChar>
      </w:r>
      <w:bookmarkStart w:id="15" w:name="Text11"/>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5"/>
    </w:p>
    <w:p w14:paraId="3DD87EA9" w14:textId="77777777" w:rsidR="009B7D6D" w:rsidRPr="00CE3558" w:rsidRDefault="009B7D6D" w:rsidP="00184988">
      <w:pPr>
        <w:rPr>
          <w:rFonts w:ascii="Century Gothic" w:hAnsi="Century Gothic"/>
          <w:color w:val="002060"/>
          <w:sz w:val="20"/>
          <w:szCs w:val="20"/>
        </w:rPr>
      </w:pPr>
    </w:p>
    <w:p w14:paraId="76719DE1" w14:textId="6F36B3A3" w:rsidR="009B7D6D" w:rsidRDefault="009B7D6D" w:rsidP="00184988">
      <w:pPr>
        <w:rPr>
          <w:rFonts w:ascii="Century Gothic" w:hAnsi="Century Gothic"/>
          <w:color w:val="002060"/>
          <w:sz w:val="20"/>
          <w:szCs w:val="20"/>
        </w:rPr>
      </w:pPr>
      <w:r w:rsidRPr="001F323A">
        <w:rPr>
          <w:rFonts w:ascii="Century Gothic" w:hAnsi="Century Gothic"/>
          <w:b/>
          <w:bCs/>
          <w:color w:val="002060"/>
          <w:sz w:val="21"/>
          <w:szCs w:val="21"/>
        </w:rPr>
        <w:t>Asking Price:</w:t>
      </w:r>
      <w:r w:rsidR="001F323A" w:rsidRPr="001F323A">
        <w:rPr>
          <w:rFonts w:ascii="Century Gothic" w:hAnsi="Century Gothic"/>
          <w:color w:val="002060"/>
          <w:sz w:val="21"/>
          <w:szCs w:val="21"/>
        </w:rPr>
        <w:t xml:space="preserve"> </w:t>
      </w:r>
      <w:r w:rsidR="001F323A">
        <w:rPr>
          <w:rFonts w:ascii="Century Gothic" w:hAnsi="Century Gothic"/>
          <w:color w:val="002060"/>
          <w:sz w:val="20"/>
          <w:szCs w:val="20"/>
        </w:rPr>
        <w:fldChar w:fldCharType="begin">
          <w:ffData>
            <w:name w:val="Text12"/>
            <w:enabled/>
            <w:calcOnExit w:val="0"/>
            <w:textInput/>
          </w:ffData>
        </w:fldChar>
      </w:r>
      <w:bookmarkStart w:id="16" w:name="Text1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6"/>
    </w:p>
    <w:p w14:paraId="2E595F01" w14:textId="1C9519A5" w:rsidR="001F323A" w:rsidRPr="001F323A" w:rsidRDefault="001F323A" w:rsidP="00184988">
      <w:pPr>
        <w:rPr>
          <w:rFonts w:ascii="Century Gothic" w:hAnsi="Century Gothic"/>
          <w:color w:val="002060"/>
          <w:sz w:val="20"/>
          <w:szCs w:val="20"/>
        </w:rPr>
      </w:pPr>
      <w:r>
        <w:rPr>
          <w:rFonts w:ascii="Century Gothic" w:hAnsi="Century Gothic"/>
          <w:noProof/>
          <w:color w:val="002060"/>
          <w:sz w:val="20"/>
          <w:szCs w:val="20"/>
        </w:rPr>
        <mc:AlternateContent>
          <mc:Choice Requires="wps">
            <w:drawing>
              <wp:anchor distT="0" distB="0" distL="114300" distR="114300" simplePos="0" relativeHeight="251664384" behindDoc="0" locked="0" layoutInCell="1" allowOverlap="1" wp14:anchorId="1F0583D8" wp14:editId="6EE88F0A">
                <wp:simplePos x="0" y="0"/>
                <wp:positionH relativeFrom="column">
                  <wp:posOffset>4994</wp:posOffset>
                </wp:positionH>
                <wp:positionV relativeFrom="paragraph">
                  <wp:posOffset>15996</wp:posOffset>
                </wp:positionV>
                <wp:extent cx="6164494" cy="1620891"/>
                <wp:effectExtent l="12700" t="12700" r="8255" b="17780"/>
                <wp:wrapNone/>
                <wp:docPr id="32868817" name="Rectangle 4"/>
                <wp:cNvGraphicFramePr/>
                <a:graphic xmlns:a="http://schemas.openxmlformats.org/drawingml/2006/main">
                  <a:graphicData uri="http://schemas.microsoft.com/office/word/2010/wordprocessingShape">
                    <wps:wsp>
                      <wps:cNvSpPr/>
                      <wps:spPr>
                        <a:xfrm>
                          <a:off x="0" y="0"/>
                          <a:ext cx="6164494" cy="162089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DFAE38" w14:textId="00027394"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F41B12">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1F0583D8" id="Rectangle 4" o:spid="_x0000_s1026" style="position:absolute;margin-left:.4pt;margin-top:1.25pt;width:485.4pt;height:127.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" fillcolor="#156082 [3204]" strokecolor="#030e13 [484]" strokeweight="1.5pt">
                <v:textbox>
                  <w:txbxContent>
                    <w:p w14:paraId="48DFAE38" w14:textId="00027394"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F41B12">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v:textbox>
              </v:rect>
            </w:pict>
          </mc:Fallback>
        </mc:AlternateContent>
      </w:r>
    </w:p>
    <w:p w14:paraId="0B415D7F" w14:textId="77777777" w:rsidR="009B7D6D" w:rsidRDefault="009B7D6D" w:rsidP="00184988">
      <w:pPr>
        <w:rPr>
          <w:rFonts w:ascii="Century Gothic" w:hAnsi="Century Gothic"/>
          <w:color w:val="002060"/>
          <w:sz w:val="40"/>
          <w:szCs w:val="40"/>
        </w:rPr>
      </w:pPr>
    </w:p>
    <w:p w14:paraId="102D638C" w14:textId="0EB169F1" w:rsidR="00184988" w:rsidRPr="00184988" w:rsidRDefault="006F0E45" w:rsidP="00184988">
      <w:pPr>
        <w:rPr>
          <w:rFonts w:ascii="Century Gothic" w:hAnsi="Century Gothic"/>
          <w:color w:val="002060"/>
          <w:sz w:val="40"/>
          <w:szCs w:val="40"/>
        </w:rPr>
      </w:pPr>
      <w:r w:rsidRPr="00184988">
        <w:rPr>
          <w:rFonts w:ascii="Century Gothic" w:hAnsi="Century Gothic"/>
          <w:color w:val="002060"/>
          <w:sz w:val="40"/>
          <w:szCs w:val="40"/>
        </w:rPr>
        <w:t xml:space="preserve">Sales Terms and Conditions of </w:t>
      </w:r>
    </w:p>
    <w:p w14:paraId="0DF822CF" w14:textId="2DE7C35D" w:rsidR="00D72FD1" w:rsidRPr="008C528F" w:rsidRDefault="008C528F" w:rsidP="00D72FD1">
      <w:pPr>
        <w:rPr>
          <w:rFonts w:ascii="Century Gothic" w:hAnsi="Century Gothic"/>
          <w:color w:val="002060"/>
          <w:sz w:val="44"/>
          <w:szCs w:val="44"/>
        </w:rPr>
      </w:pPr>
      <w:r w:rsidRPr="00E944F4">
        <w:rPr>
          <w:rFonts w:ascii="Century Gothic" w:hAnsi="Century Gothic"/>
          <w:noProof/>
          <w:color w:val="002060"/>
          <w:sz w:val="40"/>
          <w:szCs w:val="40"/>
        </w:rPr>
        <w:lastRenderedPageBreak/>
        <w:drawing>
          <wp:anchor distT="0" distB="0" distL="114300" distR="114300" simplePos="0" relativeHeight="251668480" behindDoc="0" locked="0" layoutInCell="1" allowOverlap="1" wp14:anchorId="04016E4A" wp14:editId="4CCD70A1">
            <wp:simplePos x="0" y="0"/>
            <wp:positionH relativeFrom="column">
              <wp:posOffset>4163158</wp:posOffset>
            </wp:positionH>
            <wp:positionV relativeFrom="paragraph">
              <wp:posOffset>196</wp:posOffset>
            </wp:positionV>
            <wp:extent cx="1752600" cy="902970"/>
            <wp:effectExtent l="0" t="0" r="0" b="0"/>
            <wp:wrapThrough wrapText="bothSides">
              <wp:wrapPolygon edited="0">
                <wp:start x="0" y="0"/>
                <wp:lineTo x="0" y="21266"/>
                <wp:lineTo x="21443" y="21266"/>
                <wp:lineTo x="21443" y="0"/>
                <wp:lineTo x="0" y="0"/>
              </wp:wrapPolygon>
            </wp:wrapThrough>
            <wp:docPr id="505572896"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00D72FD1" w:rsidRPr="008C528F">
        <w:rPr>
          <w:rFonts w:ascii="Century Gothic" w:hAnsi="Century Gothic"/>
          <w:color w:val="002060"/>
          <w:sz w:val="40"/>
          <w:szCs w:val="40"/>
        </w:rPr>
        <w:t xml:space="preserve">Sales Terms and Conditions of </w:t>
      </w:r>
    </w:p>
    <w:p w14:paraId="6A3BE1B4" w14:textId="40E8C22C" w:rsidR="00184988" w:rsidRPr="00BD5B7D" w:rsidRDefault="006F0E45">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2D62DB9B" w14:textId="77777777" w:rsidR="00D72FD1" w:rsidRDefault="00D72FD1">
      <w:pPr>
        <w:rPr>
          <w:rFonts w:ascii="Century Gothic" w:hAnsi="Century Gothic"/>
          <w:b/>
          <w:bCs/>
          <w:sz w:val="18"/>
          <w:szCs w:val="18"/>
        </w:rPr>
      </w:pPr>
    </w:p>
    <w:p w14:paraId="5E17ACC6" w14:textId="77777777" w:rsidR="00A1346F" w:rsidRDefault="00A1346F">
      <w:pPr>
        <w:rPr>
          <w:rFonts w:ascii="Century Gothic" w:hAnsi="Century Gothic"/>
          <w:b/>
          <w:bCs/>
          <w:sz w:val="18"/>
          <w:szCs w:val="18"/>
        </w:rPr>
        <w:sectPr w:rsidR="00A1346F" w:rsidSect="00D72FD1">
          <w:headerReference w:type="even" r:id="rId8"/>
          <w:headerReference w:type="default" r:id="rId9"/>
          <w:footerReference w:type="even" r:id="rId10"/>
          <w:footerReference w:type="default" r:id="rId11"/>
          <w:headerReference w:type="first" r:id="rId12"/>
          <w:footerReference w:type="first" r:id="rId13"/>
          <w:pgSz w:w="11906" w:h="16838"/>
          <w:pgMar w:top="1021" w:right="1077" w:bottom="1440" w:left="1077" w:header="0" w:footer="624" w:gutter="0"/>
          <w:cols w:space="708"/>
          <w:docGrid w:linePitch="360"/>
        </w:sectPr>
      </w:pPr>
    </w:p>
    <w:p w14:paraId="5D4AEE5C" w14:textId="77777777" w:rsidR="00BD5B7D" w:rsidRDefault="00BD5B7D" w:rsidP="00184988">
      <w:pPr>
        <w:spacing w:after="0" w:line="276" w:lineRule="auto"/>
        <w:ind w:left="-283" w:right="-283"/>
        <w:rPr>
          <w:rFonts w:ascii="Century Gothic" w:hAnsi="Century Gothic"/>
          <w:b/>
          <w:bCs/>
          <w:color w:val="002060"/>
          <w:sz w:val="11"/>
          <w:szCs w:val="11"/>
        </w:rPr>
      </w:pPr>
    </w:p>
    <w:p w14:paraId="0FED7E10" w14:textId="77777777" w:rsidR="00BD5B7D" w:rsidRDefault="00BD5B7D" w:rsidP="00184988">
      <w:pPr>
        <w:spacing w:after="0" w:line="276" w:lineRule="auto"/>
        <w:ind w:left="-283" w:right="-283"/>
        <w:rPr>
          <w:rFonts w:ascii="Century Gothic" w:hAnsi="Century Gothic"/>
          <w:b/>
          <w:bCs/>
          <w:color w:val="002060"/>
          <w:sz w:val="11"/>
          <w:szCs w:val="11"/>
        </w:rPr>
      </w:pPr>
    </w:p>
    <w:p w14:paraId="13C85F7A" w14:textId="27555AC8" w:rsidR="006F0E45" w:rsidRPr="008C528F" w:rsidRDefault="006F0E4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Sole Selling Rights </w:t>
      </w:r>
    </w:p>
    <w:p w14:paraId="183CD0B3" w14:textId="0F40A6E1" w:rsidR="00734FF6" w:rsidRPr="008C528F" w:rsidRDefault="006F0E45" w:rsidP="00184988">
      <w:pPr>
        <w:pStyle w:val="BodyText"/>
        <w:spacing w:line="276" w:lineRule="auto"/>
        <w:ind w:left="-283" w:right="-283"/>
        <w:jc w:val="both"/>
        <w:rPr>
          <w:rFonts w:ascii="Century Gothic" w:hAnsi="Century Gothic"/>
          <w:color w:val="002060"/>
          <w:sz w:val="11"/>
          <w:szCs w:val="11"/>
        </w:rPr>
      </w:pPr>
      <w:r w:rsidRPr="008C528F">
        <w:rPr>
          <w:rFonts w:ascii="Century Gothic" w:hAnsi="Century Gothic"/>
          <w:color w:val="002060"/>
          <w:spacing w:val="-4"/>
          <w:sz w:val="11"/>
          <w:szCs w:val="11"/>
        </w:rPr>
        <w:t xml:space="preserve">You </w:t>
      </w:r>
      <w:r w:rsidRPr="008C528F">
        <w:rPr>
          <w:rFonts w:ascii="Century Gothic" w:hAnsi="Century Gothic"/>
          <w:color w:val="002060"/>
          <w:sz w:val="11"/>
          <w:szCs w:val="11"/>
        </w:rPr>
        <w:t>hereby</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agree</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not</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instruct</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any</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other</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agent</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during</w:t>
      </w:r>
      <w:r w:rsidRPr="008C528F">
        <w:rPr>
          <w:rFonts w:ascii="Century Gothic" w:hAnsi="Century Gothic"/>
          <w:color w:val="002060"/>
          <w:spacing w:val="-3"/>
          <w:sz w:val="11"/>
          <w:szCs w:val="11"/>
        </w:rPr>
        <w:t xml:space="preserve"> </w:t>
      </w:r>
      <w:r w:rsidRPr="008C528F">
        <w:rPr>
          <w:rFonts w:ascii="Century Gothic" w:hAnsi="Century Gothic"/>
          <w:color w:val="002060"/>
          <w:sz w:val="11"/>
          <w:szCs w:val="11"/>
        </w:rPr>
        <w:t>the</w:t>
      </w:r>
      <w:r w:rsidRPr="008C528F">
        <w:rPr>
          <w:rFonts w:ascii="Century Gothic" w:hAnsi="Century Gothic"/>
          <w:color w:val="002060"/>
          <w:spacing w:val="-4"/>
          <w:sz w:val="11"/>
          <w:szCs w:val="11"/>
        </w:rPr>
        <w:t xml:space="preserve"> </w:t>
      </w:r>
      <w:r w:rsidRPr="008C528F">
        <w:rPr>
          <w:rFonts w:ascii="Century Gothic" w:hAnsi="Century Gothic"/>
          <w:color w:val="002060"/>
          <w:sz w:val="11"/>
          <w:szCs w:val="11"/>
        </w:rPr>
        <w:t>term</w:t>
      </w:r>
      <w:r w:rsidRPr="008C528F">
        <w:rPr>
          <w:rFonts w:ascii="Century Gothic" w:hAnsi="Century Gothic"/>
          <w:color w:val="002060"/>
          <w:spacing w:val="-4"/>
          <w:sz w:val="11"/>
          <w:szCs w:val="11"/>
        </w:rPr>
        <w:t xml:space="preserve"> </w:t>
      </w:r>
      <w:r w:rsidRPr="008C528F">
        <w:rPr>
          <w:rFonts w:ascii="Century Gothic" w:hAnsi="Century Gothic"/>
          <w:color w:val="002060"/>
          <w:spacing w:val="-6"/>
          <w:sz w:val="11"/>
          <w:szCs w:val="11"/>
        </w:rPr>
        <w:t xml:space="preserve">of </w:t>
      </w:r>
      <w:r w:rsidRPr="008C528F">
        <w:rPr>
          <w:rFonts w:ascii="Century Gothic" w:hAnsi="Century Gothic"/>
          <w:color w:val="002060"/>
          <w:sz w:val="11"/>
          <w:szCs w:val="11"/>
        </w:rPr>
        <w:t>this</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agreement.</w:t>
      </w:r>
      <w:r w:rsidRPr="008C528F">
        <w:rPr>
          <w:rFonts w:ascii="Century Gothic" w:hAnsi="Century Gothic"/>
          <w:color w:val="002060"/>
          <w:spacing w:val="-4"/>
          <w:sz w:val="11"/>
          <w:szCs w:val="11"/>
        </w:rPr>
        <w:t xml:space="preserve"> You</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will</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be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liable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pay</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remuneration</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to</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us</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in</w:t>
      </w:r>
      <w:r w:rsidRPr="008C528F">
        <w:rPr>
          <w:rFonts w:ascii="Century Gothic" w:hAnsi="Century Gothic"/>
          <w:color w:val="002060"/>
          <w:spacing w:val="-7"/>
          <w:sz w:val="11"/>
          <w:szCs w:val="11"/>
        </w:rPr>
        <w:t xml:space="preserve"> </w:t>
      </w:r>
      <w:r w:rsidRPr="008C528F">
        <w:rPr>
          <w:rFonts w:ascii="Century Gothic" w:hAnsi="Century Gothic"/>
          <w:color w:val="002060"/>
          <w:sz w:val="11"/>
          <w:szCs w:val="11"/>
        </w:rPr>
        <w:t>each</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of</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the</w:t>
      </w:r>
      <w:r w:rsidRPr="008C528F">
        <w:rPr>
          <w:rFonts w:ascii="Century Gothic" w:hAnsi="Century Gothic"/>
          <w:color w:val="002060"/>
          <w:spacing w:val="-6"/>
          <w:sz w:val="11"/>
          <w:szCs w:val="11"/>
        </w:rPr>
        <w:t xml:space="preserve"> </w:t>
      </w:r>
      <w:r w:rsidRPr="008C528F">
        <w:rPr>
          <w:rFonts w:ascii="Century Gothic" w:hAnsi="Century Gothic"/>
          <w:color w:val="002060"/>
          <w:sz w:val="11"/>
          <w:szCs w:val="11"/>
        </w:rPr>
        <w:t xml:space="preserve">following circumstances: An unconditional exchange of contracts </w:t>
      </w:r>
      <w:proofErr w:type="gramStart"/>
      <w:r w:rsidRPr="008C528F">
        <w:rPr>
          <w:rFonts w:ascii="Century Gothic" w:hAnsi="Century Gothic"/>
          <w:color w:val="002060"/>
          <w:sz w:val="11"/>
          <w:szCs w:val="11"/>
        </w:rPr>
        <w:t>take</w:t>
      </w:r>
      <w:proofErr w:type="gramEnd"/>
      <w:r w:rsidRPr="008C528F">
        <w:rPr>
          <w:rFonts w:ascii="Century Gothic" w:hAnsi="Century Gothic"/>
          <w:color w:val="002060"/>
          <w:sz w:val="11"/>
          <w:szCs w:val="11"/>
        </w:rPr>
        <w:t xml:space="preserve"> place after our agreed period of instruction but to a purchaser of which Flagstones have introduced to your property during our instructed period. An unconditional exchange of contracts takes place during our sole selling rights period even if the purchaser was not introduced by us but via another agent or any other persons including yourself “unless agreed otherwise prior to our agreement”. Our fee is calculated at the rate </w:t>
      </w:r>
      <w:r w:rsidR="009648F2" w:rsidRPr="008C528F">
        <w:rPr>
          <w:rFonts w:ascii="Century Gothic" w:hAnsi="Century Gothic"/>
          <w:color w:val="002060"/>
          <w:sz w:val="11"/>
          <w:szCs w:val="11"/>
        </w:rPr>
        <w:t>noted on the first page of this agreement and is calculated on the final sale price + VAT. Our</w:t>
      </w:r>
      <w:r w:rsidRPr="008C528F">
        <w:rPr>
          <w:rFonts w:ascii="Century Gothic" w:hAnsi="Century Gothic"/>
          <w:color w:val="002060"/>
          <w:sz w:val="11"/>
          <w:szCs w:val="11"/>
        </w:rPr>
        <w:t xml:space="preserve"> agreement has a </w:t>
      </w:r>
      <w:proofErr w:type="gramStart"/>
      <w:r w:rsidRPr="008C528F">
        <w:rPr>
          <w:rFonts w:ascii="Century Gothic" w:hAnsi="Century Gothic"/>
          <w:color w:val="002060"/>
          <w:sz w:val="11"/>
          <w:szCs w:val="11"/>
        </w:rPr>
        <w:t>minimum term</w:t>
      </w:r>
      <w:proofErr w:type="gramEnd"/>
      <w:r w:rsidRPr="008C528F">
        <w:rPr>
          <w:rFonts w:ascii="Century Gothic" w:hAnsi="Century Gothic"/>
          <w:color w:val="002060"/>
          <w:sz w:val="11"/>
          <w:szCs w:val="11"/>
        </w:rPr>
        <w:t xml:space="preserve"> of 4 weeks from the date of signing these terms &amp; conditions, 28 days’ notice in writing will be required to terminate your agreement.</w:t>
      </w:r>
    </w:p>
    <w:p w14:paraId="009CC23D" w14:textId="2B9554D4" w:rsidR="009648F2" w:rsidRPr="008C528F" w:rsidRDefault="009648F2" w:rsidP="00184988">
      <w:pPr>
        <w:pStyle w:val="BodyText"/>
        <w:spacing w:line="276" w:lineRule="auto"/>
        <w:ind w:left="-283" w:right="-283"/>
        <w:jc w:val="both"/>
        <w:rPr>
          <w:rFonts w:ascii="Century Gothic" w:hAnsi="Century Gothic"/>
          <w:b/>
          <w:bCs/>
          <w:color w:val="002060"/>
          <w:sz w:val="11"/>
          <w:szCs w:val="11"/>
        </w:rPr>
      </w:pPr>
      <w:r w:rsidRPr="008C528F">
        <w:rPr>
          <w:rFonts w:ascii="Century Gothic" w:hAnsi="Century Gothic"/>
          <w:b/>
          <w:bCs/>
          <w:color w:val="002060"/>
          <w:sz w:val="11"/>
          <w:szCs w:val="11"/>
        </w:rPr>
        <w:t xml:space="preserve">Multiple Agency </w:t>
      </w:r>
    </w:p>
    <w:p w14:paraId="49B1FEDB" w14:textId="6FA1C1D1" w:rsidR="006F0E45"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color w:val="002060"/>
          <w:sz w:val="11"/>
          <w:szCs w:val="11"/>
        </w:rPr>
        <w:t>Where Flagstones is instructed along with other agents, you will be liable to pay remuneration to us, in addition to any other costs or charges agreed, if at any time unconditional contracts for the sale of the property are exchanged with a purchaser introduced by us; or with a purchaser to whose attention we brought the availability of the property. A multiple agency instruction can be terminated at any time by either party by giving four weeks’ notice in writing.</w:t>
      </w:r>
    </w:p>
    <w:p w14:paraId="3CD3990B" w14:textId="35F1093B" w:rsidR="006F0E45"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Asset Transfer</w:t>
      </w:r>
    </w:p>
    <w:p w14:paraId="2D77605F" w14:textId="6367BECE"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color w:val="002060"/>
          <w:sz w:val="11"/>
          <w:szCs w:val="11"/>
        </w:rPr>
        <w:t>For the avoidance of doubt and without prejudice to the above it is the intention of the parties to this agreement that any purchase by way of asset transfer will be affected to maximise efficiencies and that such a transfer will be treated as if it was a sale of property for the purposes of this agreement.</w:t>
      </w:r>
    </w:p>
    <w:p w14:paraId="56A25A7A" w14:textId="77777777"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Energy Performance Certificates (EPCs)</w:t>
      </w:r>
    </w:p>
    <w:p w14:paraId="689B2937" w14:textId="4B73A8A5" w:rsidR="009648F2" w:rsidRPr="008C528F" w:rsidRDefault="009648F2"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It is a legal requirement to have commissioned an EPC before marketing can commence on your property. Unless you notify us in advance that you do not require us to do so we will endeavour to arrange this for you at </w:t>
      </w:r>
      <w:r w:rsidR="00E23B25">
        <w:rPr>
          <w:rFonts w:ascii="Century Gothic" w:hAnsi="Century Gothic"/>
          <w:color w:val="002060"/>
          <w:sz w:val="11"/>
          <w:szCs w:val="11"/>
        </w:rPr>
        <w:t xml:space="preserve">your </w:t>
      </w:r>
      <w:r w:rsidRPr="008C528F">
        <w:rPr>
          <w:rFonts w:ascii="Century Gothic" w:hAnsi="Century Gothic"/>
          <w:color w:val="002060"/>
          <w:sz w:val="11"/>
          <w:szCs w:val="11"/>
        </w:rPr>
        <w:t>cost.</w:t>
      </w:r>
    </w:p>
    <w:p w14:paraId="5AFB8314" w14:textId="62996FBC" w:rsidR="009648F2" w:rsidRPr="008C528F" w:rsidRDefault="009648F2"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Fees Payable </w:t>
      </w:r>
    </w:p>
    <w:p w14:paraId="06C7A35D" w14:textId="337C918E" w:rsidR="006A5161" w:rsidRPr="008C528F" w:rsidRDefault="009648F2"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Flagstones’ fees are calculated as a percentage (%) of the sale price achieved + VAT at the prevailing rate. As Flagstones’ fees are based on a percentage of the price achieved, should this be higher or lower than the asking price, Flagstones’ fees will be correspondingly higher or lower. </w:t>
      </w:r>
      <w:r w:rsidR="001E19FB" w:rsidRPr="008C528F">
        <w:rPr>
          <w:rFonts w:ascii="Century Gothic" w:hAnsi="Century Gothic"/>
          <w:color w:val="002060"/>
          <w:sz w:val="11"/>
          <w:szCs w:val="11"/>
        </w:rPr>
        <w:t>For all sole selling rights agency instructions, this percentage is at a rate of 1.5% + VAT. For all multiple agency instructions, this percentage is at a rate of 2% + VAT. All agency commissions are subject to a minimum fee of £3,000 + VAT. The sale price will be deemed to include any extra prices for fixtures, fittings, goods, chattels, carpets, curtains and other such related items.</w:t>
      </w:r>
    </w:p>
    <w:p w14:paraId="1082D494" w14:textId="7170B83E" w:rsidR="00734FF6" w:rsidRPr="008C528F" w:rsidRDefault="00734FF6"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Responsibility of Fees</w:t>
      </w:r>
    </w:p>
    <w:p w14:paraId="4E269E53" w14:textId="223A4B1D" w:rsidR="00734FF6" w:rsidRPr="008C528F" w:rsidRDefault="00734FF6"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The responsibility for the payment of fees remains with the party(</w:t>
      </w:r>
      <w:proofErr w:type="spellStart"/>
      <w:r w:rsidRPr="008C528F">
        <w:rPr>
          <w:rFonts w:ascii="Century Gothic" w:hAnsi="Century Gothic"/>
          <w:color w:val="002060"/>
          <w:sz w:val="11"/>
          <w:szCs w:val="11"/>
        </w:rPr>
        <w:t>ies</w:t>
      </w:r>
      <w:proofErr w:type="spellEnd"/>
      <w:r w:rsidRPr="008C528F">
        <w:rPr>
          <w:rFonts w:ascii="Century Gothic" w:hAnsi="Century Gothic"/>
          <w:color w:val="002060"/>
          <w:sz w:val="11"/>
          <w:szCs w:val="11"/>
        </w:rPr>
        <w:t xml:space="preserve">) named on this document and you hereby confirm that you have obtained all necessary consents to allow you to instruct Flagstones to sell the property. Flagstones will be entitled to a commission fee if you terminate this contract and go on to sell the property to a purchaser within six months of the date Flagstones’ instruction ended and that purchaser was introduced by Flagstones, another agent or any other person including yourself during the period for which Flagstones had sole selling rights, or if the purchaser was someone about whom we had negotiations about the property during that period. However, Flagstones </w:t>
      </w:r>
      <w:proofErr w:type="gramStart"/>
      <w:r w:rsidR="001E19FB" w:rsidRPr="008C528F">
        <w:rPr>
          <w:rFonts w:ascii="Century Gothic" w:hAnsi="Century Gothic"/>
          <w:color w:val="002060"/>
          <w:sz w:val="11"/>
          <w:szCs w:val="11"/>
        </w:rPr>
        <w:t>will</w:t>
      </w:r>
      <w:proofErr w:type="gramEnd"/>
      <w:r w:rsidRPr="008C528F">
        <w:rPr>
          <w:rFonts w:ascii="Century Gothic" w:hAnsi="Century Gothic"/>
          <w:color w:val="002060"/>
          <w:sz w:val="11"/>
          <w:szCs w:val="11"/>
        </w:rPr>
        <w:t xml:space="preserve"> give up its rights to any commission fee if a purchaser first introduced by Flagstones, another agent, or any other person including yourself, goes on to buy the property through another estate agent in circumstances where that purchaser was introduced by the other estate agent more than six months after Flagstones’ instruction ended. There may be a dual fee liability if: </w:t>
      </w:r>
      <w:r w:rsidR="001E19FB" w:rsidRPr="008C528F">
        <w:rPr>
          <w:rFonts w:ascii="Century Gothic" w:hAnsi="Century Gothic"/>
          <w:color w:val="002060"/>
          <w:sz w:val="11"/>
          <w:szCs w:val="11"/>
        </w:rPr>
        <w:t>a) the</w:t>
      </w:r>
      <w:r w:rsidRPr="008C528F">
        <w:rPr>
          <w:rFonts w:ascii="Century Gothic" w:hAnsi="Century Gothic"/>
          <w:color w:val="002060"/>
          <w:sz w:val="11"/>
          <w:szCs w:val="11"/>
        </w:rPr>
        <w:t xml:space="preserve"> seller has previously instructed another agent to sell the same property on a sole agency, joint sole agency or a sole selling rights basis; or </w:t>
      </w:r>
      <w:r w:rsidR="001E19FB" w:rsidRPr="008C528F">
        <w:rPr>
          <w:rFonts w:ascii="Century Gothic" w:hAnsi="Century Gothic"/>
          <w:color w:val="002060"/>
          <w:sz w:val="11"/>
          <w:szCs w:val="11"/>
        </w:rPr>
        <w:t>b) that</w:t>
      </w:r>
      <w:r w:rsidRPr="008C528F">
        <w:rPr>
          <w:rFonts w:ascii="Century Gothic" w:hAnsi="Century Gothic"/>
          <w:color w:val="002060"/>
          <w:sz w:val="11"/>
          <w:szCs w:val="11"/>
        </w:rPr>
        <w:t xml:space="preserve"> seller instructs another agent during or after the period of Flagstones’ sole selling rights agency or joint sole agency.</w:t>
      </w:r>
    </w:p>
    <w:p w14:paraId="631B2320" w14:textId="77777777" w:rsidR="001E19FB" w:rsidRPr="008C528F" w:rsidRDefault="001E19FB"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Time and payment of fees </w:t>
      </w:r>
    </w:p>
    <w:p w14:paraId="2F337B1A" w14:textId="73CD6993" w:rsidR="001E19FB" w:rsidRPr="008C528F" w:rsidRDefault="001E19FB" w:rsidP="00184988">
      <w:pPr>
        <w:spacing w:after="0" w:line="276" w:lineRule="auto"/>
        <w:ind w:left="-283" w:right="-283"/>
        <w:rPr>
          <w:rFonts w:ascii="Century Gothic" w:hAnsi="Century Gothic"/>
          <w:color w:val="002060"/>
          <w:w w:val="105"/>
          <w:sz w:val="11"/>
          <w:szCs w:val="11"/>
        </w:rPr>
      </w:pPr>
      <w:r w:rsidRPr="008C528F">
        <w:rPr>
          <w:rFonts w:ascii="Century Gothic" w:hAnsi="Century Gothic"/>
          <w:color w:val="002060"/>
          <w:sz w:val="11"/>
          <w:szCs w:val="11"/>
        </w:rPr>
        <w:t>Flagstones fees become due once an exchange of contracts has taken</w:t>
      </w:r>
      <w:r w:rsidRPr="008C528F">
        <w:rPr>
          <w:rFonts w:ascii="Century Gothic" w:hAnsi="Century Gothic"/>
          <w:color w:val="002060"/>
          <w:spacing w:val="-10"/>
          <w:sz w:val="11"/>
          <w:szCs w:val="11"/>
        </w:rPr>
        <w:t xml:space="preserve"> </w:t>
      </w:r>
      <w:r w:rsidRPr="008C528F">
        <w:rPr>
          <w:rFonts w:ascii="Century Gothic" w:hAnsi="Century Gothic"/>
          <w:color w:val="002060"/>
          <w:sz w:val="11"/>
          <w:szCs w:val="11"/>
        </w:rPr>
        <w:t>place.</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However,</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if</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this</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is</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not</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possible</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then</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payment</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in</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full</w:t>
      </w:r>
      <w:r w:rsidRPr="008C528F">
        <w:rPr>
          <w:rFonts w:ascii="Century Gothic" w:hAnsi="Century Gothic"/>
          <w:color w:val="002060"/>
          <w:spacing w:val="-9"/>
          <w:sz w:val="11"/>
          <w:szCs w:val="11"/>
        </w:rPr>
        <w:t xml:space="preserve"> </w:t>
      </w:r>
      <w:r w:rsidRPr="008C528F">
        <w:rPr>
          <w:rFonts w:ascii="Century Gothic" w:hAnsi="Century Gothic"/>
          <w:color w:val="002060"/>
          <w:sz w:val="11"/>
          <w:szCs w:val="11"/>
        </w:rPr>
        <w:t>at point of completion would also be deemed</w:t>
      </w:r>
      <w:r w:rsidRPr="008C528F">
        <w:rPr>
          <w:rFonts w:ascii="Century Gothic" w:hAnsi="Century Gothic"/>
          <w:color w:val="002060"/>
          <w:spacing w:val="-24"/>
          <w:sz w:val="11"/>
          <w:szCs w:val="11"/>
        </w:rPr>
        <w:t xml:space="preserve"> </w:t>
      </w:r>
      <w:r w:rsidRPr="008C528F">
        <w:rPr>
          <w:rFonts w:ascii="Century Gothic" w:hAnsi="Century Gothic"/>
          <w:color w:val="002060"/>
          <w:sz w:val="11"/>
          <w:szCs w:val="11"/>
        </w:rPr>
        <w:t xml:space="preserve">acceptable. </w:t>
      </w:r>
      <w:r w:rsidRPr="008C528F">
        <w:rPr>
          <w:rFonts w:ascii="Century Gothic" w:hAnsi="Century Gothic"/>
          <w:color w:val="002060"/>
          <w:spacing w:val="-4"/>
          <w:w w:val="105"/>
          <w:sz w:val="11"/>
          <w:szCs w:val="11"/>
        </w:rPr>
        <w:t>We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reserve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the</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right</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to</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claim</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from</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you</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any</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incurred</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legal</w:t>
      </w:r>
      <w:r w:rsidRPr="008C528F">
        <w:rPr>
          <w:rFonts w:ascii="Century Gothic" w:hAnsi="Century Gothic"/>
          <w:color w:val="002060"/>
          <w:spacing w:val="-18"/>
          <w:w w:val="105"/>
          <w:sz w:val="11"/>
          <w:szCs w:val="11"/>
        </w:rPr>
        <w:t xml:space="preserve"> </w:t>
      </w:r>
      <w:r w:rsidRPr="008C528F">
        <w:rPr>
          <w:rFonts w:ascii="Century Gothic" w:hAnsi="Century Gothic"/>
          <w:color w:val="002060"/>
          <w:w w:val="105"/>
          <w:sz w:val="11"/>
          <w:szCs w:val="11"/>
        </w:rPr>
        <w:t>costs</w:t>
      </w:r>
      <w:r w:rsidRPr="008C528F">
        <w:rPr>
          <w:rFonts w:ascii="Century Gothic" w:hAnsi="Century Gothic"/>
          <w:color w:val="002060"/>
          <w:spacing w:val="-19"/>
          <w:w w:val="105"/>
          <w:sz w:val="11"/>
          <w:szCs w:val="11"/>
        </w:rPr>
        <w:t xml:space="preserve"> </w:t>
      </w:r>
      <w:r w:rsidRPr="008C528F">
        <w:rPr>
          <w:rFonts w:ascii="Century Gothic" w:hAnsi="Century Gothic"/>
          <w:color w:val="002060"/>
          <w:w w:val="105"/>
          <w:sz w:val="11"/>
          <w:szCs w:val="11"/>
        </w:rPr>
        <w:t>in</w:t>
      </w:r>
      <w:r w:rsidRPr="008C528F">
        <w:rPr>
          <w:rFonts w:ascii="Century Gothic" w:hAnsi="Century Gothic"/>
          <w:color w:val="002060"/>
          <w:spacing w:val="-19"/>
          <w:w w:val="105"/>
          <w:sz w:val="11"/>
          <w:szCs w:val="11"/>
        </w:rPr>
        <w:t xml:space="preserve"> </w:t>
      </w:r>
      <w:r w:rsidRPr="008C528F">
        <w:rPr>
          <w:rFonts w:ascii="Century Gothic" w:hAnsi="Century Gothic"/>
          <w:color w:val="002060"/>
          <w:spacing w:val="-4"/>
          <w:w w:val="105"/>
          <w:sz w:val="11"/>
          <w:szCs w:val="11"/>
        </w:rPr>
        <w:t xml:space="preserve">the </w:t>
      </w:r>
      <w:r w:rsidRPr="008C528F">
        <w:rPr>
          <w:rFonts w:ascii="Century Gothic" w:hAnsi="Century Gothic"/>
          <w:color w:val="002060"/>
          <w:w w:val="105"/>
          <w:sz w:val="11"/>
          <w:szCs w:val="11"/>
        </w:rPr>
        <w:t>unlikely</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event</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that</w:t>
      </w:r>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we</w:t>
      </w:r>
      <w:r w:rsidRPr="008C528F">
        <w:rPr>
          <w:rFonts w:ascii="Century Gothic" w:hAnsi="Century Gothic"/>
          <w:color w:val="002060"/>
          <w:spacing w:val="-23"/>
          <w:w w:val="105"/>
          <w:sz w:val="11"/>
          <w:szCs w:val="11"/>
        </w:rPr>
        <w:t xml:space="preserve"> </w:t>
      </w:r>
      <w:proofErr w:type="gramStart"/>
      <w:r w:rsidRPr="008C528F">
        <w:rPr>
          <w:rFonts w:ascii="Century Gothic" w:hAnsi="Century Gothic"/>
          <w:color w:val="002060"/>
          <w:w w:val="105"/>
          <w:sz w:val="11"/>
          <w:szCs w:val="11"/>
        </w:rPr>
        <w:t>have</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to</w:t>
      </w:r>
      <w:proofErr w:type="gramEnd"/>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enforce</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these</w:t>
      </w:r>
      <w:r w:rsidRPr="008C528F">
        <w:rPr>
          <w:rFonts w:ascii="Century Gothic" w:hAnsi="Century Gothic"/>
          <w:color w:val="002060"/>
          <w:spacing w:val="-22"/>
          <w:w w:val="105"/>
          <w:sz w:val="11"/>
          <w:szCs w:val="11"/>
        </w:rPr>
        <w:t xml:space="preserve"> </w:t>
      </w:r>
      <w:r w:rsidRPr="008C528F">
        <w:rPr>
          <w:rFonts w:ascii="Century Gothic" w:hAnsi="Century Gothic"/>
          <w:color w:val="002060"/>
          <w:w w:val="105"/>
          <w:sz w:val="11"/>
          <w:szCs w:val="11"/>
        </w:rPr>
        <w:t>agreed</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terms</w:t>
      </w:r>
      <w:r w:rsidRPr="008C528F">
        <w:rPr>
          <w:rFonts w:ascii="Century Gothic" w:hAnsi="Century Gothic"/>
          <w:color w:val="002060"/>
          <w:spacing w:val="-23"/>
          <w:w w:val="105"/>
          <w:sz w:val="11"/>
          <w:szCs w:val="11"/>
        </w:rPr>
        <w:t xml:space="preserve"> </w:t>
      </w:r>
      <w:r w:rsidRPr="008C528F">
        <w:rPr>
          <w:rFonts w:ascii="Century Gothic" w:hAnsi="Century Gothic"/>
          <w:color w:val="002060"/>
          <w:w w:val="105"/>
          <w:sz w:val="11"/>
          <w:szCs w:val="11"/>
        </w:rPr>
        <w:t>following non-payment of our</w:t>
      </w:r>
      <w:r w:rsidRPr="008C528F">
        <w:rPr>
          <w:rFonts w:ascii="Century Gothic" w:hAnsi="Century Gothic"/>
          <w:color w:val="002060"/>
          <w:spacing w:val="-26"/>
          <w:w w:val="105"/>
          <w:sz w:val="11"/>
          <w:szCs w:val="11"/>
        </w:rPr>
        <w:t xml:space="preserve"> </w:t>
      </w:r>
      <w:r w:rsidRPr="008C528F">
        <w:rPr>
          <w:rFonts w:ascii="Century Gothic" w:hAnsi="Century Gothic"/>
          <w:color w:val="002060"/>
          <w:w w:val="105"/>
          <w:sz w:val="11"/>
          <w:szCs w:val="11"/>
        </w:rPr>
        <w:t>fees.</w:t>
      </w:r>
    </w:p>
    <w:p w14:paraId="2B151150" w14:textId="77777777" w:rsidR="001E19FB" w:rsidRPr="008C528F" w:rsidRDefault="001E19FB"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Interest </w:t>
      </w:r>
    </w:p>
    <w:p w14:paraId="44DB344C" w14:textId="3BA70C18" w:rsidR="001E19FB" w:rsidRPr="008C528F" w:rsidRDefault="001E19FB"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We reserve the right to charge interest from the date of completion of contracts on any amounts still outstanding 28 days after Flagstones’ fees are first demanded. The prescribed rate of interest shall be 2% above the Bank of England base rate as at the date they are first demanded and payable from that date.</w:t>
      </w:r>
    </w:p>
    <w:p w14:paraId="2D3152DB" w14:textId="77777777" w:rsidR="00184988" w:rsidRPr="008C528F" w:rsidRDefault="00184988" w:rsidP="00184988">
      <w:pPr>
        <w:spacing w:after="0" w:line="276" w:lineRule="auto"/>
        <w:ind w:left="-283" w:right="-283"/>
        <w:rPr>
          <w:rFonts w:ascii="Century Gothic" w:hAnsi="Century Gothic"/>
          <w:color w:val="002060"/>
          <w:sz w:val="11"/>
          <w:szCs w:val="11"/>
        </w:rPr>
      </w:pPr>
    </w:p>
    <w:p w14:paraId="6D662CAD" w14:textId="77777777" w:rsidR="00D72FD1" w:rsidRPr="008C528F" w:rsidRDefault="00D72FD1" w:rsidP="00184988">
      <w:pPr>
        <w:spacing w:after="0" w:line="276" w:lineRule="auto"/>
        <w:ind w:left="-283" w:right="-283"/>
        <w:rPr>
          <w:rFonts w:ascii="Century Gothic" w:hAnsi="Century Gothic"/>
          <w:color w:val="002060"/>
          <w:sz w:val="11"/>
          <w:szCs w:val="11"/>
        </w:rPr>
      </w:pPr>
    </w:p>
    <w:p w14:paraId="2C99D438" w14:textId="77777777" w:rsidR="00D72FD1" w:rsidRPr="008C528F" w:rsidRDefault="00D72FD1" w:rsidP="00D72FD1">
      <w:pPr>
        <w:spacing w:after="0" w:line="276" w:lineRule="auto"/>
        <w:ind w:right="-283"/>
        <w:rPr>
          <w:rFonts w:ascii="Century Gothic" w:hAnsi="Century Gothic"/>
          <w:b/>
          <w:bCs/>
          <w:color w:val="002060"/>
          <w:sz w:val="11"/>
          <w:szCs w:val="11"/>
        </w:rPr>
      </w:pPr>
    </w:p>
    <w:p w14:paraId="5111109B" w14:textId="77777777" w:rsidR="00BD5B7D" w:rsidRDefault="00BD5B7D" w:rsidP="00D72FD1">
      <w:pPr>
        <w:spacing w:after="0" w:line="276" w:lineRule="auto"/>
        <w:ind w:left="-283" w:right="-283"/>
        <w:rPr>
          <w:rFonts w:ascii="Century Gothic" w:hAnsi="Century Gothic"/>
          <w:b/>
          <w:bCs/>
          <w:color w:val="002060"/>
          <w:sz w:val="11"/>
          <w:szCs w:val="11"/>
        </w:rPr>
      </w:pPr>
    </w:p>
    <w:p w14:paraId="001F25B5" w14:textId="77777777" w:rsidR="00BD5B7D" w:rsidRDefault="00BD5B7D" w:rsidP="00D72FD1">
      <w:pPr>
        <w:spacing w:after="0" w:line="276" w:lineRule="auto"/>
        <w:ind w:left="-283" w:right="-283"/>
        <w:rPr>
          <w:rFonts w:ascii="Century Gothic" w:hAnsi="Century Gothic"/>
          <w:b/>
          <w:bCs/>
          <w:color w:val="002060"/>
          <w:sz w:val="11"/>
          <w:szCs w:val="11"/>
        </w:rPr>
      </w:pPr>
    </w:p>
    <w:p w14:paraId="6A761933" w14:textId="16B6DBE9" w:rsidR="00D72FD1" w:rsidRPr="008C528F" w:rsidRDefault="00F64985" w:rsidP="00D72FD1">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Marketing and Property Photography </w:t>
      </w:r>
    </w:p>
    <w:p w14:paraId="364E3CA5" w14:textId="1B641B40" w:rsidR="00734FF6"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You authorise us to display a For Sale board during our instruction (subject to local planning regulations). You authorise Flagstones to attend, photograph, and create floorplans of the property. You permit images depicting the property to be used for the purposes of marketing and the promotion of the Flagstones brand. This involves the display of the images across all advertising mediums, including but not limited to, Flagstones’ website, aggregator or sub-agent websites, social media platforms and print. The copyright of all details, photographs and floorplans remains exclusive to Flagstones.</w:t>
      </w:r>
    </w:p>
    <w:p w14:paraId="6C6A8C3F"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Connected persons </w:t>
      </w:r>
    </w:p>
    <w:p w14:paraId="6906EC91" w14:textId="5DE24712"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As required by Section 21 of the Estate Agents Act 1979, unless specifically stated otherwise, we are not aware of any personal interest existing between ourselves or anyone in our employ or any connected person(s) and yourself(</w:t>
      </w:r>
      <w:proofErr w:type="spellStart"/>
      <w:r w:rsidRPr="008C528F">
        <w:rPr>
          <w:rFonts w:ascii="Century Gothic" w:hAnsi="Century Gothic"/>
          <w:color w:val="002060"/>
          <w:sz w:val="11"/>
          <w:szCs w:val="11"/>
        </w:rPr>
        <w:t>ves</w:t>
      </w:r>
      <w:proofErr w:type="spellEnd"/>
      <w:r w:rsidRPr="008C528F">
        <w:rPr>
          <w:rFonts w:ascii="Century Gothic" w:hAnsi="Century Gothic"/>
          <w:color w:val="002060"/>
          <w:sz w:val="11"/>
          <w:szCs w:val="11"/>
        </w:rPr>
        <w:t xml:space="preserve">). If you are or become aware of such an </w:t>
      </w:r>
      <w:proofErr w:type="gramStart"/>
      <w:r w:rsidRPr="008C528F">
        <w:rPr>
          <w:rFonts w:ascii="Century Gothic" w:hAnsi="Century Gothic"/>
          <w:color w:val="002060"/>
          <w:sz w:val="11"/>
          <w:szCs w:val="11"/>
        </w:rPr>
        <w:t>interest</w:t>
      </w:r>
      <w:proofErr w:type="gramEnd"/>
      <w:r w:rsidRPr="008C528F">
        <w:rPr>
          <w:rFonts w:ascii="Century Gothic" w:hAnsi="Century Gothic"/>
          <w:color w:val="002060"/>
          <w:sz w:val="11"/>
          <w:szCs w:val="11"/>
        </w:rPr>
        <w:t xml:space="preserve"> you should notify F</w:t>
      </w:r>
      <w:r w:rsidR="00FE536A">
        <w:rPr>
          <w:rFonts w:ascii="Century Gothic" w:hAnsi="Century Gothic"/>
          <w:color w:val="002060"/>
          <w:sz w:val="11"/>
          <w:szCs w:val="11"/>
        </w:rPr>
        <w:t>lagstone</w:t>
      </w:r>
      <w:r w:rsidRPr="008C528F">
        <w:rPr>
          <w:rFonts w:ascii="Century Gothic" w:hAnsi="Century Gothic"/>
          <w:color w:val="002060"/>
          <w:sz w:val="11"/>
          <w:szCs w:val="11"/>
        </w:rPr>
        <w:t>s immediately</w:t>
      </w:r>
    </w:p>
    <w:p w14:paraId="353D78DC"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Referral Fees </w:t>
      </w:r>
    </w:p>
    <w:p w14:paraId="5FC11D0D" w14:textId="49EC4894"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We may receive a Referral Fee if we recommend you to another business. For details of the Referral </w:t>
      </w:r>
      <w:proofErr w:type="gramStart"/>
      <w:r w:rsidRPr="008C528F">
        <w:rPr>
          <w:rFonts w:ascii="Century Gothic" w:hAnsi="Century Gothic"/>
          <w:color w:val="002060"/>
          <w:sz w:val="11"/>
          <w:szCs w:val="11"/>
        </w:rPr>
        <w:t>Fees</w:t>
      </w:r>
      <w:proofErr w:type="gramEnd"/>
      <w:r w:rsidRPr="008C528F">
        <w:rPr>
          <w:rFonts w:ascii="Century Gothic" w:hAnsi="Century Gothic"/>
          <w:color w:val="002060"/>
          <w:sz w:val="11"/>
          <w:szCs w:val="11"/>
        </w:rPr>
        <w:t xml:space="preserve"> we receive see our Referral Fee Disclosure Guide on our website. </w:t>
      </w:r>
    </w:p>
    <w:p w14:paraId="09CFB914"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Keys </w:t>
      </w:r>
    </w:p>
    <w:p w14:paraId="10BF928B" w14:textId="14A99CAD"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Where you provide us with a set of keys (or authorise us to use keys held by another agent), we may make further copies to facilitate viewings by the instructed office. We will not charge you for this service. Flagstones’ secure key tag system ensures that third parties cannot identify which property a set of keys belongs to, therefore, </w:t>
      </w:r>
      <w:proofErr w:type="gramStart"/>
      <w:r w:rsidRPr="008C528F">
        <w:rPr>
          <w:rFonts w:ascii="Century Gothic" w:hAnsi="Century Gothic"/>
          <w:color w:val="002060"/>
          <w:sz w:val="11"/>
          <w:szCs w:val="11"/>
        </w:rPr>
        <w:t>in the event that</w:t>
      </w:r>
      <w:proofErr w:type="gramEnd"/>
      <w:r w:rsidRPr="008C528F">
        <w:rPr>
          <w:rFonts w:ascii="Century Gothic" w:hAnsi="Century Gothic"/>
          <w:color w:val="002060"/>
          <w:sz w:val="11"/>
          <w:szCs w:val="11"/>
        </w:rPr>
        <w:t xml:space="preserve"> keys are lost or unaccounted for, Flagstones’ liability is strictly limited to the cost of cutting a new set of keys.</w:t>
      </w:r>
    </w:p>
    <w:p w14:paraId="73F6727B" w14:textId="5E7649C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Complaints procedure  </w:t>
      </w:r>
    </w:p>
    <w:p w14:paraId="35ACC9B5" w14:textId="15FDAAD7" w:rsidR="00734FF6"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If you have any problems with Flagstones’ service and are unable to resolve these with your Negotiator or the Branch/Department Manager, you can write to the Directors for the area/department in question. Your letter will be acknowledged within three working days of receipt and an investigation undertaken. A formal written response will be sent to you within fifteen working days. If you remain dissatisfied, you should write to Flagstones’ Legal &amp; Compliance Department whereupon your complaint will be investigated by a Compliance Officer. A written statement expressing Flagstones’ final view will be sent to you and will detail any offer Flagstones is willing to make. The same time limits will apply. This letter will also confirm, where you remain dissatisfied, your entitlement to refer the matter to The Property Ombudsman (TPO) within twelve months, for a review. Please note TPO will only review complaints made by consumers.</w:t>
      </w:r>
    </w:p>
    <w:p w14:paraId="0BC3F66E" w14:textId="64524961"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Anti-Money Laundering Regulations (AML)</w:t>
      </w:r>
    </w:p>
    <w:p w14:paraId="1E05E5C0" w14:textId="40867135" w:rsidR="009648F2"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Flagstones </w:t>
      </w:r>
      <w:proofErr w:type="gramStart"/>
      <w:r w:rsidRPr="008C528F">
        <w:rPr>
          <w:rFonts w:ascii="Century Gothic" w:hAnsi="Century Gothic"/>
          <w:color w:val="002060"/>
          <w:sz w:val="11"/>
          <w:szCs w:val="11"/>
        </w:rPr>
        <w:t>is</w:t>
      </w:r>
      <w:proofErr w:type="gramEnd"/>
      <w:r w:rsidRPr="008C528F">
        <w:rPr>
          <w:rFonts w:ascii="Century Gothic" w:hAnsi="Century Gothic"/>
          <w:color w:val="002060"/>
          <w:sz w:val="11"/>
          <w:szCs w:val="11"/>
        </w:rPr>
        <w:t xml:space="preserve"> subject to Anti Money Laundering laws. As a result, we will need to obtain and hold evidence confirming your identity and proof of your address. We will be unable to proceed with any work on your behalf until we obtain this from you. Your identity may be subject to an electronic identity check, which may leave a soft footprint on your credit report. Where appropriate, proof of ownership of the property and confirmation of the source or destination of funds may also be requested.</w:t>
      </w:r>
    </w:p>
    <w:p w14:paraId="147A4718"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Data protection and privacy policy </w:t>
      </w:r>
    </w:p>
    <w:p w14:paraId="033A5627" w14:textId="6FF8E7CD"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 xml:space="preserve">Flagstones </w:t>
      </w:r>
      <w:proofErr w:type="gramStart"/>
      <w:r w:rsidRPr="008C528F">
        <w:rPr>
          <w:rFonts w:ascii="Century Gothic" w:hAnsi="Century Gothic"/>
          <w:color w:val="002060"/>
          <w:sz w:val="11"/>
          <w:szCs w:val="11"/>
        </w:rPr>
        <w:t>complies</w:t>
      </w:r>
      <w:proofErr w:type="gramEnd"/>
      <w:r w:rsidRPr="008C528F">
        <w:rPr>
          <w:rFonts w:ascii="Century Gothic" w:hAnsi="Century Gothic"/>
          <w:color w:val="002060"/>
          <w:sz w:val="11"/>
          <w:szCs w:val="11"/>
        </w:rPr>
        <w:t xml:space="preserve"> with all applicable data protection and privacy laws in dealing with your personal data. Please refer to our Privacy Policy for full details of how we acquire and use your personal data and how you can opt out of certain activities. Please be aware that in the provision of our services, we may instruct other organisations to process personal data on our behalf and/or share personal data with law enforcement agencies, which may also involve the transfer of data outside the European Economic Area.</w:t>
      </w:r>
    </w:p>
    <w:p w14:paraId="26B8FA5A" w14:textId="77777777"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b/>
          <w:bCs/>
          <w:color w:val="002060"/>
          <w:sz w:val="11"/>
          <w:szCs w:val="11"/>
        </w:rPr>
        <w:t>Disclosure</w:t>
      </w:r>
      <w:r w:rsidRPr="008C528F">
        <w:rPr>
          <w:rFonts w:ascii="Century Gothic" w:hAnsi="Century Gothic"/>
          <w:color w:val="002060"/>
          <w:sz w:val="11"/>
          <w:szCs w:val="11"/>
        </w:rPr>
        <w:t xml:space="preserve"> </w:t>
      </w:r>
    </w:p>
    <w:p w14:paraId="7BAA6887" w14:textId="146329A5"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It is a requirement of this agreement that should an offer be agreed privately, or via another estate agent, the seller must disclose to Flagstones the identity of the purchaser prior to exchange of contracts.</w:t>
      </w:r>
    </w:p>
    <w:p w14:paraId="3FBCD337" w14:textId="77777777"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Jurisdiction </w:t>
      </w:r>
    </w:p>
    <w:p w14:paraId="541AA382" w14:textId="2B35885B" w:rsidR="00F64985"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The High Court and the County Courts of England and Wales shall have jurisdiction over this agreement.</w:t>
      </w:r>
    </w:p>
    <w:p w14:paraId="48AD0E2D" w14:textId="130459B1" w:rsidR="00F64985" w:rsidRPr="008C528F" w:rsidRDefault="00F64985" w:rsidP="00184988">
      <w:pPr>
        <w:spacing w:after="0" w:line="276" w:lineRule="auto"/>
        <w:ind w:left="-283" w:right="-283"/>
        <w:rPr>
          <w:rFonts w:ascii="Century Gothic" w:hAnsi="Century Gothic"/>
          <w:b/>
          <w:bCs/>
          <w:color w:val="002060"/>
          <w:sz w:val="11"/>
          <w:szCs w:val="11"/>
        </w:rPr>
      </w:pPr>
      <w:r w:rsidRPr="008C528F">
        <w:rPr>
          <w:rFonts w:ascii="Century Gothic" w:hAnsi="Century Gothic"/>
          <w:b/>
          <w:bCs/>
          <w:color w:val="002060"/>
          <w:sz w:val="11"/>
          <w:szCs w:val="11"/>
        </w:rPr>
        <w:t xml:space="preserve">Entire Agreement and Variations </w:t>
      </w:r>
    </w:p>
    <w:p w14:paraId="5D8B2171" w14:textId="24EE98A7" w:rsidR="00184988" w:rsidRPr="008C528F" w:rsidRDefault="00F64985" w:rsidP="00184988">
      <w:pPr>
        <w:spacing w:after="0" w:line="276" w:lineRule="auto"/>
        <w:ind w:left="-283" w:right="-283"/>
        <w:rPr>
          <w:rFonts w:ascii="Century Gothic" w:hAnsi="Century Gothic"/>
          <w:color w:val="002060"/>
          <w:sz w:val="11"/>
          <w:szCs w:val="11"/>
        </w:rPr>
      </w:pPr>
      <w:r w:rsidRPr="008C528F">
        <w:rPr>
          <w:rFonts w:ascii="Century Gothic" w:hAnsi="Century Gothic"/>
          <w:color w:val="002060"/>
          <w:sz w:val="11"/>
          <w:szCs w:val="11"/>
        </w:rPr>
        <w:t>This contract constitutes the entire agreement between Flagstones and the seller and supersedes all prior agreements, understandings, representations or communications between the parties. No amendment or variation to this contract will have any contractual effect unless approved in writing by a Directors of Flagstones.</w:t>
      </w:r>
    </w:p>
    <w:p w14:paraId="4D4C0058" w14:textId="77777777" w:rsidR="00184988" w:rsidRPr="008C528F" w:rsidRDefault="00184988">
      <w:pPr>
        <w:rPr>
          <w:sz w:val="11"/>
          <w:szCs w:val="11"/>
        </w:rPr>
        <w:sectPr w:rsidR="00184988" w:rsidRPr="008C528F" w:rsidSect="00184988">
          <w:type w:val="continuous"/>
          <w:pgSz w:w="11906" w:h="16838"/>
          <w:pgMar w:top="720" w:right="720" w:bottom="720" w:left="720" w:header="708" w:footer="708" w:gutter="0"/>
          <w:cols w:num="2" w:space="708"/>
          <w:docGrid w:linePitch="360"/>
        </w:sectPr>
      </w:pPr>
    </w:p>
    <w:p w14:paraId="55E57563" w14:textId="6A495A0C" w:rsidR="00184988" w:rsidRPr="008C528F" w:rsidRDefault="00184988" w:rsidP="00184988">
      <w:pPr>
        <w:spacing w:after="0"/>
        <w:rPr>
          <w:rFonts w:ascii="Century Gothic" w:hAnsi="Century Gothic"/>
          <w:b/>
          <w:bCs/>
          <w:color w:val="002060"/>
          <w:sz w:val="11"/>
          <w:szCs w:val="11"/>
        </w:rPr>
      </w:pPr>
    </w:p>
    <w:p w14:paraId="2C164D4D" w14:textId="3F0B26FB" w:rsidR="00184988" w:rsidRPr="008C528F" w:rsidRDefault="00184988" w:rsidP="00184988">
      <w:pPr>
        <w:spacing w:after="0"/>
        <w:rPr>
          <w:rFonts w:ascii="Century Gothic" w:hAnsi="Century Gothic"/>
          <w:b/>
          <w:bCs/>
          <w:color w:val="002060"/>
          <w:sz w:val="11"/>
          <w:szCs w:val="11"/>
        </w:rPr>
      </w:pPr>
      <w:r w:rsidRPr="008C528F">
        <w:rPr>
          <w:rFonts w:ascii="Century Gothic" w:hAnsi="Century Gothic"/>
          <w:b/>
          <w:bCs/>
          <w:color w:val="002060"/>
          <w:sz w:val="11"/>
          <w:szCs w:val="11"/>
        </w:rPr>
        <w:t xml:space="preserve">Notice of the Right to Cancel </w:t>
      </w:r>
    </w:p>
    <w:p w14:paraId="6BEA2D4C" w14:textId="68E73AE8" w:rsidR="00A1346F" w:rsidRPr="00A1346F" w:rsidRDefault="00184988" w:rsidP="00A1346F">
      <w:pPr>
        <w:rPr>
          <w:rFonts w:ascii="Century Gothic" w:hAnsi="Century Gothic"/>
          <w:color w:val="002060"/>
          <w:sz w:val="11"/>
          <w:szCs w:val="11"/>
        </w:rPr>
      </w:pPr>
      <w:r w:rsidRPr="008C528F">
        <w:rPr>
          <w:rFonts w:ascii="Century Gothic" w:hAnsi="Century Gothic"/>
          <w:color w:val="002060"/>
          <w:sz w:val="11"/>
          <w:szCs w:val="11"/>
        </w:rPr>
        <w:t xml:space="preserve">You may have the right to cancel this contract under the Consumer Contracts (Information, Cancellation and Additional Charges) Regulations 2013 within 14 calendar days after the date upon which it was signed. Notice of Cancellation MUST BE IN WRITING and should be delivered or sent by post to the Cancellations Department, Flagstones Property Group, 104 Havelock Hub, Harrow, HA1 1LJ; or by email to </w:t>
      </w:r>
      <w:hyperlink r:id="rId14" w:history="1">
        <w:r w:rsidRPr="008C528F">
          <w:rPr>
            <w:rStyle w:val="Hyperlink"/>
            <w:rFonts w:ascii="Century Gothic" w:hAnsi="Century Gothic"/>
            <w:color w:val="002060"/>
            <w:sz w:val="11"/>
            <w:szCs w:val="11"/>
          </w:rPr>
          <w:t>info@flagstonespg.co.uk</w:t>
        </w:r>
      </w:hyperlink>
      <w:r w:rsidRPr="008C528F">
        <w:rPr>
          <w:rFonts w:ascii="Century Gothic" w:hAnsi="Century Gothic"/>
          <w:color w:val="002060"/>
          <w:sz w:val="11"/>
          <w:szCs w:val="11"/>
        </w:rPr>
        <w:t xml:space="preserve">. Any Notice of Cancellation is deemed served on the day that it is delivered, posted or sent. If you have given us your written agreement to market your property within the cancellation </w:t>
      </w:r>
      <w:r w:rsidR="00D72FD1" w:rsidRPr="008C528F">
        <w:rPr>
          <w:rFonts w:ascii="Century Gothic" w:hAnsi="Century Gothic"/>
          <w:color w:val="002060"/>
          <w:sz w:val="11"/>
          <w:szCs w:val="11"/>
        </w:rPr>
        <w:t>period,</w:t>
      </w:r>
      <w:r w:rsidRPr="008C528F">
        <w:rPr>
          <w:rFonts w:ascii="Century Gothic" w:hAnsi="Century Gothic"/>
          <w:color w:val="002060"/>
          <w:sz w:val="11"/>
          <w:szCs w:val="11"/>
        </w:rPr>
        <w:t xml:space="preserve"> you may be required to pay our commission fees if we have introduced a purchaser to your property prior to your serving a Notice of Cancellation.</w:t>
      </w:r>
    </w:p>
    <w:p w14:paraId="4D300339" w14:textId="11D8B686" w:rsidR="00D72FD1" w:rsidRDefault="00D72FD1" w:rsidP="00E944F4">
      <w:pPr>
        <w:jc w:val="both"/>
        <w:rPr>
          <w:rFonts w:ascii="Century Gothic" w:hAnsi="Century Gothic"/>
          <w:color w:val="002060"/>
          <w:sz w:val="10"/>
          <w:szCs w:val="10"/>
        </w:rPr>
      </w:pPr>
      <w:r w:rsidRPr="00D72FD1">
        <w:rPr>
          <w:rFonts w:ascii="Century Gothic" w:hAnsi="Century Gothic"/>
          <w:noProof/>
          <w:color w:val="002060"/>
          <w:sz w:val="16"/>
          <w:szCs w:val="16"/>
        </w:rPr>
        <w:drawing>
          <wp:anchor distT="0" distB="0" distL="114300" distR="114300" simplePos="0" relativeHeight="251658240" behindDoc="0" locked="0" layoutInCell="1" allowOverlap="1" wp14:anchorId="435927C8" wp14:editId="6149BD03">
            <wp:simplePos x="0" y="0"/>
            <wp:positionH relativeFrom="column">
              <wp:posOffset>-125095</wp:posOffset>
            </wp:positionH>
            <wp:positionV relativeFrom="paragraph">
              <wp:posOffset>177498</wp:posOffset>
            </wp:positionV>
            <wp:extent cx="1420495" cy="505460"/>
            <wp:effectExtent l="0" t="0" r="1905" b="2540"/>
            <wp:wrapThrough wrapText="bothSides">
              <wp:wrapPolygon edited="0">
                <wp:start x="0" y="0"/>
                <wp:lineTo x="0" y="21166"/>
                <wp:lineTo x="21436" y="21166"/>
                <wp:lineTo x="21436" y="0"/>
                <wp:lineTo x="0" y="0"/>
              </wp:wrapPolygon>
            </wp:wrapThrough>
            <wp:docPr id="1328955073" name="Picture 1" descr="The Property Ombudsma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perty Ombudsman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049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4E112E" w14:textId="77777777" w:rsidR="00D72FD1" w:rsidRDefault="006F0E45" w:rsidP="00D72FD1">
      <w:pPr>
        <w:ind w:left="2160"/>
        <w:jc w:val="both"/>
        <w:rPr>
          <w:rFonts w:ascii="Century Gothic" w:hAnsi="Century Gothic"/>
          <w:color w:val="002060"/>
          <w:sz w:val="10"/>
          <w:szCs w:val="10"/>
        </w:rPr>
      </w:pPr>
      <w:r w:rsidRPr="00D72FD1">
        <w:rPr>
          <w:rFonts w:ascii="Century Gothic" w:hAnsi="Century Gothic"/>
          <w:color w:val="002060"/>
          <w:sz w:val="10"/>
          <w:szCs w:val="10"/>
        </w:rPr>
        <w:t>We are members of The Property Ombudsman and abide by The Property Ombudsman Code of Practice. You agree that we may disclose information relating to the sale of your property to The Property Ombudsman, if you or the applicant have registered a complaint and The Property Ombudsman asks for it. You also agree that we may disclose your contact details to The Property Ombudsman if they ask for them, to assist in their monitoring of our compliance with the Code of Practice.</w:t>
      </w:r>
    </w:p>
    <w:p w14:paraId="2547D79A" w14:textId="19A5C42E" w:rsidR="006F0E45" w:rsidRPr="00D72FD1" w:rsidRDefault="006F0E45" w:rsidP="00D72FD1">
      <w:pPr>
        <w:ind w:left="2160"/>
        <w:jc w:val="both"/>
        <w:rPr>
          <w:rFonts w:ascii="Century Gothic" w:hAnsi="Century Gothic"/>
          <w:color w:val="002060"/>
          <w:sz w:val="10"/>
          <w:szCs w:val="10"/>
        </w:rPr>
      </w:pPr>
      <w:r w:rsidRPr="00D72FD1">
        <w:rPr>
          <w:rFonts w:ascii="Century Gothic" w:hAnsi="Century Gothic"/>
          <w:color w:val="002060"/>
          <w:sz w:val="10"/>
          <w:szCs w:val="10"/>
        </w:rPr>
        <w:t>Flagstones Property Group</w:t>
      </w:r>
      <w:r w:rsidR="00FE536A">
        <w:rPr>
          <w:rFonts w:ascii="Century Gothic" w:hAnsi="Century Gothic"/>
          <w:color w:val="002060"/>
          <w:sz w:val="10"/>
          <w:szCs w:val="10"/>
        </w:rPr>
        <w:t xml:space="preserve"> Ltd</w:t>
      </w:r>
      <w:r w:rsidRPr="00D72FD1">
        <w:rPr>
          <w:rFonts w:ascii="Century Gothic" w:hAnsi="Century Gothic"/>
          <w:color w:val="002060"/>
          <w:sz w:val="10"/>
          <w:szCs w:val="10"/>
        </w:rPr>
        <w:t xml:space="preserve">, 104 Havelock Hub, Harrow, HA1 1LJ. Registration No: </w:t>
      </w:r>
      <w:r w:rsidRPr="00D72FD1">
        <w:rPr>
          <w:rFonts w:ascii="Century Gothic" w:hAnsi="Century Gothic" w:cs="Arial"/>
          <w:b/>
          <w:bCs/>
          <w:color w:val="002060"/>
          <w:sz w:val="10"/>
          <w:szCs w:val="10"/>
        </w:rPr>
        <w:t>1397707</w:t>
      </w:r>
      <w:r w:rsidR="00E944F4">
        <w:rPr>
          <w:rFonts w:ascii="Century Gothic" w:hAnsi="Century Gothic" w:cs="Arial"/>
          <w:b/>
          <w:bCs/>
          <w:color w:val="002060"/>
          <w:sz w:val="10"/>
          <w:szCs w:val="10"/>
        </w:rPr>
        <w:t>5</w:t>
      </w:r>
    </w:p>
    <w:tbl>
      <w:tblPr>
        <w:tblW w:w="0" w:type="auto"/>
        <w:tblCellMar>
          <w:left w:w="0" w:type="dxa"/>
          <w:right w:w="0" w:type="dxa"/>
        </w:tblCellMar>
        <w:tblLook w:val="04A0" w:firstRow="1" w:lastRow="0" w:firstColumn="1" w:lastColumn="0" w:noHBand="0" w:noVBand="1"/>
      </w:tblPr>
      <w:tblGrid>
        <w:gridCol w:w="6"/>
      </w:tblGrid>
      <w:tr w:rsidR="006F0E45" w:rsidRPr="006F0E45" w14:paraId="02107526" w14:textId="77777777">
        <w:tc>
          <w:tcPr>
            <w:tcW w:w="0" w:type="auto"/>
            <w:vAlign w:val="center"/>
            <w:hideMark/>
          </w:tcPr>
          <w:p w14:paraId="5026F84D" w14:textId="77777777" w:rsidR="006F0E45" w:rsidRPr="006F0E45" w:rsidRDefault="006F0E45" w:rsidP="006F0E45">
            <w:pPr>
              <w:spacing w:after="0" w:line="240" w:lineRule="auto"/>
              <w:rPr>
                <w:rFonts w:ascii="Times New Roman" w:eastAsia="Times New Roman" w:hAnsi="Times New Roman" w:cs="Times New Roman"/>
                <w:kern w:val="0"/>
                <w:sz w:val="18"/>
                <w:szCs w:val="18"/>
                <w:lang w:eastAsia="en-GB"/>
                <w14:ligatures w14:val="none"/>
              </w:rPr>
            </w:pPr>
          </w:p>
        </w:tc>
      </w:tr>
    </w:tbl>
    <w:p w14:paraId="76BBEBFD" w14:textId="5645700F" w:rsidR="00BD5B7D" w:rsidRPr="00BD5B7D" w:rsidRDefault="00BD5B7D" w:rsidP="00BD5B7D">
      <w:pPr>
        <w:tabs>
          <w:tab w:val="left" w:pos="2640"/>
        </w:tabs>
      </w:pPr>
    </w:p>
    <w:sectPr w:rsidR="00BD5B7D" w:rsidRPr="00BD5B7D" w:rsidSect="0018498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E4EEF" w14:textId="77777777" w:rsidR="00AA6F40" w:rsidRDefault="00AA6F40" w:rsidP="009B7D6D">
      <w:pPr>
        <w:spacing w:after="0" w:line="240" w:lineRule="auto"/>
      </w:pPr>
      <w:r>
        <w:separator/>
      </w:r>
    </w:p>
  </w:endnote>
  <w:endnote w:type="continuationSeparator" w:id="0">
    <w:p w14:paraId="5CFE7A49" w14:textId="77777777" w:rsidR="00AA6F40" w:rsidRDefault="00AA6F40" w:rsidP="009B7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9067356"/>
      <w:docPartObj>
        <w:docPartGallery w:val="Page Numbers (Bottom of Page)"/>
        <w:docPartUnique/>
      </w:docPartObj>
    </w:sdtPr>
    <w:sdtContent>
      <w:p w14:paraId="18036000" w14:textId="49CBE161" w:rsidR="009B7D6D" w:rsidRDefault="009B7D6D" w:rsidP="008E23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44AF3B" w14:textId="77777777" w:rsidR="009B7D6D" w:rsidRDefault="009B7D6D" w:rsidP="009B7D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7853648"/>
      <w:docPartObj>
        <w:docPartGallery w:val="Page Numbers (Bottom of Page)"/>
        <w:docPartUnique/>
      </w:docPartObj>
    </w:sdtPr>
    <w:sdtContent>
      <w:p w14:paraId="29EE4EB3" w14:textId="5AE3DE08" w:rsidR="009B7D6D" w:rsidRDefault="009B7D6D" w:rsidP="008E2311">
        <w:pPr>
          <w:pStyle w:val="Footer"/>
          <w:framePr w:wrap="none" w:vAnchor="text" w:hAnchor="margin" w:xAlign="right" w:y="1"/>
          <w:rPr>
            <w:rStyle w:val="PageNumber"/>
          </w:rPr>
        </w:pPr>
        <w:r w:rsidRPr="009B7D6D">
          <w:rPr>
            <w:rStyle w:val="PageNumber"/>
            <w:rFonts w:ascii="Century Gothic" w:hAnsi="Century Gothic"/>
            <w:color w:val="002060"/>
            <w:sz w:val="21"/>
            <w:szCs w:val="21"/>
          </w:rPr>
          <w:fldChar w:fldCharType="begin"/>
        </w:r>
        <w:r w:rsidRPr="009B7D6D">
          <w:rPr>
            <w:rStyle w:val="PageNumber"/>
            <w:rFonts w:ascii="Century Gothic" w:hAnsi="Century Gothic"/>
            <w:color w:val="002060"/>
            <w:sz w:val="21"/>
            <w:szCs w:val="21"/>
          </w:rPr>
          <w:instrText xml:space="preserve"> PAGE </w:instrText>
        </w:r>
        <w:r w:rsidRPr="009B7D6D">
          <w:rPr>
            <w:rStyle w:val="PageNumber"/>
            <w:rFonts w:ascii="Century Gothic" w:hAnsi="Century Gothic"/>
            <w:color w:val="002060"/>
            <w:sz w:val="21"/>
            <w:szCs w:val="21"/>
          </w:rPr>
          <w:fldChar w:fldCharType="separate"/>
        </w:r>
        <w:r w:rsidRPr="009B7D6D">
          <w:rPr>
            <w:rStyle w:val="PageNumber"/>
            <w:rFonts w:ascii="Century Gothic" w:hAnsi="Century Gothic"/>
            <w:noProof/>
            <w:color w:val="002060"/>
            <w:sz w:val="21"/>
            <w:szCs w:val="21"/>
          </w:rPr>
          <w:t>1</w:t>
        </w:r>
        <w:r w:rsidRPr="009B7D6D">
          <w:rPr>
            <w:rStyle w:val="PageNumber"/>
            <w:rFonts w:ascii="Century Gothic" w:hAnsi="Century Gothic"/>
            <w:color w:val="002060"/>
            <w:sz w:val="21"/>
            <w:szCs w:val="21"/>
          </w:rPr>
          <w:fldChar w:fldCharType="end"/>
        </w:r>
      </w:p>
    </w:sdtContent>
  </w:sdt>
  <w:p w14:paraId="4FF94C3B" w14:textId="77777777" w:rsidR="009B7D6D" w:rsidRDefault="009B7D6D" w:rsidP="009B7D6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105E6" w14:textId="77777777" w:rsidR="00D72FD1" w:rsidRDefault="00D72F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CCBE8" w14:textId="77777777" w:rsidR="00AA6F40" w:rsidRDefault="00AA6F40" w:rsidP="009B7D6D">
      <w:pPr>
        <w:spacing w:after="0" w:line="240" w:lineRule="auto"/>
      </w:pPr>
      <w:r>
        <w:separator/>
      </w:r>
    </w:p>
  </w:footnote>
  <w:footnote w:type="continuationSeparator" w:id="0">
    <w:p w14:paraId="524639BA" w14:textId="77777777" w:rsidR="00AA6F40" w:rsidRDefault="00AA6F40" w:rsidP="009B7D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B64D4" w14:textId="3E6D0A77" w:rsidR="00D72FD1" w:rsidRDefault="00000000">
    <w:pPr>
      <w:pStyle w:val="Header"/>
    </w:pPr>
    <w:r>
      <w:rPr>
        <w:noProof/>
      </w:rPr>
      <w:pict w14:anchorId="42AB4B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70" o:spid="_x0000_s1027" type="#_x0000_t75" alt="" style="position:absolute;margin-left:0;margin-top:0;width:448.5pt;height:377pt;z-index:-251645952;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9FE3A" w14:textId="05A9848C" w:rsidR="00D72FD1" w:rsidRDefault="00000000">
    <w:pPr>
      <w:pStyle w:val="Header"/>
    </w:pPr>
    <w:r>
      <w:rPr>
        <w:noProof/>
      </w:rPr>
      <w:pict w14:anchorId="23A8A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71" o:spid="_x0000_s1026" type="#_x0000_t75" alt="" style="position:absolute;margin-left:0;margin-top:0;width:448.5pt;height:377pt;z-index:-251643904;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56966" w14:textId="199BB0A0" w:rsidR="00D72FD1" w:rsidRDefault="00000000">
    <w:pPr>
      <w:pStyle w:val="Header"/>
    </w:pPr>
    <w:r>
      <w:rPr>
        <w:noProof/>
      </w:rPr>
      <w:pict w14:anchorId="1C7828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851469" o:spid="_x0000_s1025" type="#_x0000_t75" alt="" style="position:absolute;margin-left:0;margin-top:0;width:448.5pt;height:377pt;z-index:-251648000;mso-wrap-edited:f;mso-width-percent:0;mso-height-percent:0;mso-position-horizontal:center;mso-position-horizontal-relative:margin;mso-position-vertical:center;mso-position-vertical-relative:margin;mso-width-percent:0;mso-height-percent:0" o:allowincell="f">
          <v:imagedata r:id="rId1" o:title="Asset 3FLAGSTONES LOGO VARIANTS"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E45"/>
    <w:rsid w:val="00073B8F"/>
    <w:rsid w:val="001055A1"/>
    <w:rsid w:val="001205D5"/>
    <w:rsid w:val="00184988"/>
    <w:rsid w:val="00193CDE"/>
    <w:rsid w:val="001A0DD7"/>
    <w:rsid w:val="001E19FB"/>
    <w:rsid w:val="001F323A"/>
    <w:rsid w:val="002A7101"/>
    <w:rsid w:val="002D4BE1"/>
    <w:rsid w:val="003508BE"/>
    <w:rsid w:val="003A5E65"/>
    <w:rsid w:val="003E72CF"/>
    <w:rsid w:val="00405A75"/>
    <w:rsid w:val="004D1BBA"/>
    <w:rsid w:val="00501F13"/>
    <w:rsid w:val="00541ED1"/>
    <w:rsid w:val="00666897"/>
    <w:rsid w:val="006A5161"/>
    <w:rsid w:val="006D56AC"/>
    <w:rsid w:val="006F0E45"/>
    <w:rsid w:val="00734FF6"/>
    <w:rsid w:val="00886173"/>
    <w:rsid w:val="008945FB"/>
    <w:rsid w:val="008C528F"/>
    <w:rsid w:val="00914699"/>
    <w:rsid w:val="009648F2"/>
    <w:rsid w:val="009B7D6D"/>
    <w:rsid w:val="00A1346F"/>
    <w:rsid w:val="00AA6F40"/>
    <w:rsid w:val="00AE44B6"/>
    <w:rsid w:val="00B43F8D"/>
    <w:rsid w:val="00BD5B7D"/>
    <w:rsid w:val="00C51BF5"/>
    <w:rsid w:val="00CE3558"/>
    <w:rsid w:val="00D72FD1"/>
    <w:rsid w:val="00E23B25"/>
    <w:rsid w:val="00E944F4"/>
    <w:rsid w:val="00F41B12"/>
    <w:rsid w:val="00F53528"/>
    <w:rsid w:val="00F554EA"/>
    <w:rsid w:val="00F64985"/>
    <w:rsid w:val="00FE53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0F4BE"/>
  <w15:chartTrackingRefBased/>
  <w15:docId w15:val="{901A1392-09DB-2941-B8A5-82BF71B1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0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E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E45"/>
    <w:rPr>
      <w:rFonts w:eastAsiaTheme="majorEastAsia" w:cstheme="majorBidi"/>
      <w:color w:val="272727" w:themeColor="text1" w:themeTint="D8"/>
    </w:rPr>
  </w:style>
  <w:style w:type="paragraph" w:styleId="Title">
    <w:name w:val="Title"/>
    <w:basedOn w:val="Normal"/>
    <w:next w:val="Normal"/>
    <w:link w:val="TitleChar"/>
    <w:uiPriority w:val="10"/>
    <w:qFormat/>
    <w:rsid w:val="006F0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E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E45"/>
    <w:pPr>
      <w:spacing w:before="160"/>
      <w:jc w:val="center"/>
    </w:pPr>
    <w:rPr>
      <w:i/>
      <w:iCs/>
      <w:color w:val="404040" w:themeColor="text1" w:themeTint="BF"/>
    </w:rPr>
  </w:style>
  <w:style w:type="character" w:customStyle="1" w:styleId="QuoteChar">
    <w:name w:val="Quote Char"/>
    <w:basedOn w:val="DefaultParagraphFont"/>
    <w:link w:val="Quote"/>
    <w:uiPriority w:val="29"/>
    <w:rsid w:val="006F0E45"/>
    <w:rPr>
      <w:i/>
      <w:iCs/>
      <w:color w:val="404040" w:themeColor="text1" w:themeTint="BF"/>
    </w:rPr>
  </w:style>
  <w:style w:type="paragraph" w:styleId="ListParagraph">
    <w:name w:val="List Paragraph"/>
    <w:basedOn w:val="Normal"/>
    <w:uiPriority w:val="34"/>
    <w:qFormat/>
    <w:rsid w:val="006F0E45"/>
    <w:pPr>
      <w:ind w:left="720"/>
      <w:contextualSpacing/>
    </w:pPr>
  </w:style>
  <w:style w:type="character" w:styleId="IntenseEmphasis">
    <w:name w:val="Intense Emphasis"/>
    <w:basedOn w:val="DefaultParagraphFont"/>
    <w:uiPriority w:val="21"/>
    <w:qFormat/>
    <w:rsid w:val="006F0E45"/>
    <w:rPr>
      <w:i/>
      <w:iCs/>
      <w:color w:val="0F4761" w:themeColor="accent1" w:themeShade="BF"/>
    </w:rPr>
  </w:style>
  <w:style w:type="paragraph" w:styleId="IntenseQuote">
    <w:name w:val="Intense Quote"/>
    <w:basedOn w:val="Normal"/>
    <w:next w:val="Normal"/>
    <w:link w:val="IntenseQuoteChar"/>
    <w:uiPriority w:val="30"/>
    <w:qFormat/>
    <w:rsid w:val="006F0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E45"/>
    <w:rPr>
      <w:i/>
      <w:iCs/>
      <w:color w:val="0F4761" w:themeColor="accent1" w:themeShade="BF"/>
    </w:rPr>
  </w:style>
  <w:style w:type="character" w:styleId="IntenseReference">
    <w:name w:val="Intense Reference"/>
    <w:basedOn w:val="DefaultParagraphFont"/>
    <w:uiPriority w:val="32"/>
    <w:qFormat/>
    <w:rsid w:val="006F0E45"/>
    <w:rPr>
      <w:b/>
      <w:bCs/>
      <w:smallCaps/>
      <w:color w:val="0F4761" w:themeColor="accent1" w:themeShade="BF"/>
      <w:spacing w:val="5"/>
    </w:rPr>
  </w:style>
  <w:style w:type="paragraph" w:styleId="NormalWeb">
    <w:name w:val="Normal (Web)"/>
    <w:basedOn w:val="Normal"/>
    <w:uiPriority w:val="99"/>
    <w:semiHidden/>
    <w:unhideWhenUsed/>
    <w:rsid w:val="006F0E4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1"/>
    <w:qFormat/>
    <w:rsid w:val="006F0E45"/>
    <w:pPr>
      <w:widowControl w:val="0"/>
      <w:autoSpaceDE w:val="0"/>
      <w:autoSpaceDN w:val="0"/>
      <w:spacing w:after="0" w:line="240" w:lineRule="auto"/>
    </w:pPr>
    <w:rPr>
      <w:rFonts w:ascii="Trebuchet MS" w:eastAsia="Trebuchet MS" w:hAnsi="Trebuchet MS" w:cs="Trebuchet MS"/>
      <w:kern w:val="0"/>
      <w:sz w:val="13"/>
      <w:szCs w:val="13"/>
      <w:lang w:val="en-US"/>
      <w14:ligatures w14:val="none"/>
    </w:rPr>
  </w:style>
  <w:style w:type="character" w:customStyle="1" w:styleId="BodyTextChar">
    <w:name w:val="Body Text Char"/>
    <w:basedOn w:val="DefaultParagraphFont"/>
    <w:link w:val="BodyText"/>
    <w:uiPriority w:val="1"/>
    <w:rsid w:val="006F0E45"/>
    <w:rPr>
      <w:rFonts w:ascii="Trebuchet MS" w:eastAsia="Trebuchet MS" w:hAnsi="Trebuchet MS" w:cs="Trebuchet MS"/>
      <w:kern w:val="0"/>
      <w:sz w:val="13"/>
      <w:szCs w:val="13"/>
      <w:lang w:val="en-US"/>
      <w14:ligatures w14:val="none"/>
    </w:rPr>
  </w:style>
  <w:style w:type="character" w:styleId="Hyperlink">
    <w:name w:val="Hyperlink"/>
    <w:basedOn w:val="DefaultParagraphFont"/>
    <w:uiPriority w:val="99"/>
    <w:unhideWhenUsed/>
    <w:rsid w:val="00184988"/>
    <w:rPr>
      <w:color w:val="467886" w:themeColor="hyperlink"/>
      <w:u w:val="single"/>
    </w:rPr>
  </w:style>
  <w:style w:type="character" w:styleId="UnresolvedMention">
    <w:name w:val="Unresolved Mention"/>
    <w:basedOn w:val="DefaultParagraphFont"/>
    <w:uiPriority w:val="99"/>
    <w:semiHidden/>
    <w:unhideWhenUsed/>
    <w:rsid w:val="00184988"/>
    <w:rPr>
      <w:color w:val="605E5C"/>
      <w:shd w:val="clear" w:color="auto" w:fill="E1DFDD"/>
    </w:rPr>
  </w:style>
  <w:style w:type="paragraph" w:styleId="Header">
    <w:name w:val="header"/>
    <w:basedOn w:val="Normal"/>
    <w:link w:val="HeaderChar"/>
    <w:uiPriority w:val="99"/>
    <w:unhideWhenUsed/>
    <w:rsid w:val="009B7D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7D6D"/>
  </w:style>
  <w:style w:type="paragraph" w:styleId="Footer">
    <w:name w:val="footer"/>
    <w:basedOn w:val="Normal"/>
    <w:link w:val="FooterChar"/>
    <w:uiPriority w:val="99"/>
    <w:unhideWhenUsed/>
    <w:rsid w:val="009B7D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7D6D"/>
  </w:style>
  <w:style w:type="character" w:styleId="PageNumber">
    <w:name w:val="page number"/>
    <w:basedOn w:val="DefaultParagraphFont"/>
    <w:uiPriority w:val="99"/>
    <w:semiHidden/>
    <w:unhideWhenUsed/>
    <w:rsid w:val="009B7D6D"/>
  </w:style>
  <w:style w:type="paragraph" w:styleId="Revision">
    <w:name w:val="Revision"/>
    <w:hidden/>
    <w:uiPriority w:val="99"/>
    <w:semiHidden/>
    <w:rsid w:val="001055A1"/>
    <w:pPr>
      <w:spacing w:after="0" w:line="240" w:lineRule="auto"/>
    </w:pPr>
  </w:style>
  <w:style w:type="paragraph" w:customStyle="1" w:styleId="p1">
    <w:name w:val="p1"/>
    <w:basedOn w:val="Normal"/>
    <w:rsid w:val="008945FB"/>
    <w:pPr>
      <w:spacing w:after="0" w:line="240" w:lineRule="auto"/>
    </w:pPr>
    <w:rPr>
      <w:rFonts w:ascii="Helvetica" w:eastAsia="Times New Roman" w:hAnsi="Helvetica" w:cs="Times New Roman"/>
      <w:color w:val="111111"/>
      <w:kern w:val="0"/>
      <w:sz w:val="14"/>
      <w:szCs w:val="14"/>
      <w:lang w:eastAsia="en-GB"/>
      <w14:ligatures w14:val="none"/>
    </w:rPr>
  </w:style>
  <w:style w:type="paragraph" w:styleId="NoSpacing">
    <w:name w:val="No Spacing"/>
    <w:uiPriority w:val="1"/>
    <w:qFormat/>
    <w:rsid w:val="00D72FD1"/>
    <w:pPr>
      <w:spacing w:after="0" w:line="240" w:lineRule="auto"/>
    </w:pPr>
    <w:rPr>
      <w:rFonts w:eastAsiaTheme="minorEastAsia"/>
      <w:kern w:val="0"/>
      <w:sz w:val="22"/>
      <w:szCs w:val="22"/>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info@flagstonespg.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DB246-42E5-A447-A4C9-2ABC16CB4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1770</Words>
  <Characters>10094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Flagstones Property Group Lettings</dc:creator>
  <cp:keywords/>
  <dc:description/>
  <cp:lastModifiedBy>Natalie Jones</cp:lastModifiedBy>
  <cp:revision>3</cp:revision>
  <cp:lastPrinted>2026-01-15T13:25:00Z</cp:lastPrinted>
  <dcterms:created xsi:type="dcterms:W3CDTF">2026-02-04T11:21:00Z</dcterms:created>
  <dcterms:modified xsi:type="dcterms:W3CDTF">2026-02-04T12:52:00Z</dcterms:modified>
</cp:coreProperties>
</file>